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52225C">
        <w:t>Food &amp; Nutrition Program</w:t>
      </w:r>
      <w:r>
        <w:tab/>
      </w:r>
      <w:r>
        <w:tab/>
      </w:r>
    </w:p>
    <w:p w:rsidR="007F5ADE" w:rsidRDefault="006340FF" w:rsidP="004D7FFA">
      <w:pPr>
        <w:spacing w:after="0" w:line="360" w:lineRule="auto"/>
      </w:pPr>
      <w:r>
        <w:t>Program Type:</w:t>
      </w:r>
      <w:r>
        <w:tab/>
      </w:r>
      <w:r>
        <w:tab/>
      </w:r>
      <w:r w:rsidR="00716FCF">
        <w:rPr>
          <w:rFonts w:cstheme="minorHAnsi"/>
        </w:rPr>
        <w:fldChar w:fldCharType="begin">
          <w:ffData>
            <w:name w:val="Check8"/>
            <w:enabled/>
            <w:calcOnExit w:val="0"/>
            <w:checkBox>
              <w:sizeAuto/>
              <w:default w:val="1"/>
            </w:checkBox>
          </w:ffData>
        </w:fldChar>
      </w:r>
      <w:bookmarkStart w:id="0" w:name="Check8"/>
      <w:r w:rsidR="00716FCF">
        <w:rPr>
          <w:rFonts w:cstheme="minorHAnsi"/>
        </w:rPr>
        <w:instrText xml:space="preserve"> FORMCHECKBOX </w:instrText>
      </w:r>
      <w:r w:rsidR="0052399C">
        <w:rPr>
          <w:rFonts w:cstheme="minorHAnsi"/>
        </w:rPr>
      </w:r>
      <w:r w:rsidR="0052399C">
        <w:rPr>
          <w:rFonts w:cstheme="minorHAnsi"/>
        </w:rPr>
        <w:fldChar w:fldCharType="separate"/>
      </w:r>
      <w:r w:rsidR="00716FCF">
        <w:rPr>
          <w:rFonts w:cstheme="minorHAnsi"/>
        </w:rPr>
        <w:fldChar w:fldCharType="end"/>
      </w:r>
      <w:bookmarkEnd w:id="0"/>
      <w:r>
        <w:rPr>
          <w:rFonts w:cstheme="minorHAnsi"/>
        </w:rPr>
        <w:t xml:space="preserve"> </w:t>
      </w:r>
      <w:r>
        <w:t>Instructional</w:t>
      </w:r>
      <w:r>
        <w:tab/>
      </w:r>
      <w:r>
        <w:tab/>
      </w:r>
      <w:r w:rsidR="0041241B">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52399C">
        <w:rPr>
          <w:rFonts w:cstheme="minorHAnsi"/>
        </w:rPr>
      </w:r>
      <w:r w:rsidR="0052399C">
        <w:rPr>
          <w:rFonts w:cstheme="minorHAnsi"/>
        </w:rPr>
        <w:fldChar w:fldCharType="separate"/>
      </w:r>
      <w:r w:rsidR="0041241B">
        <w:rPr>
          <w:rFonts w:cstheme="minorHAnsi"/>
        </w:rPr>
        <w:fldChar w:fldCharType="end"/>
      </w:r>
      <w:bookmarkEnd w:id="1"/>
      <w:r>
        <w:rPr>
          <w:rFonts w:cstheme="minorHAnsi"/>
        </w:rPr>
        <w:t xml:space="preserve"> </w:t>
      </w:r>
      <w:r>
        <w:t>Non-Instructional</w:t>
      </w:r>
    </w:p>
    <w:p w:rsidR="006340FF" w:rsidRDefault="006340FF" w:rsidP="004D7FFA">
      <w:pPr>
        <w:spacing w:after="0" w:line="360" w:lineRule="auto"/>
      </w:pPr>
    </w:p>
    <w:p w:rsidR="007F5ADE" w:rsidRDefault="006340FF" w:rsidP="004D7FFA">
      <w:pPr>
        <w:spacing w:after="0" w:line="360" w:lineRule="auto"/>
      </w:pPr>
      <w:r>
        <w:t>Program Mission Statement:</w:t>
      </w:r>
      <w:r w:rsidR="0052225C">
        <w:t xml:space="preserve"> The Food &amp; Nutrition Program, faculty and staff of the Family &amp; Consumer Education department strive to offer affective, up-to-date instruction with sensitivity to the diversity of our students, their education needs and their career goals. The Food &amp; Nutrition Program provides relevant course and lab work towards professional technical workforce and career preparation training in Culinary Arts, Food Production Management, Dietetic Services and Child Nutrition Management. We use a multi-dimensional approach in preparing our students not only for their specific career, but also provide activities that assist their meeting their personal academic and professional goals.</w:t>
      </w:r>
    </w:p>
    <w:p w:rsidR="006340FF" w:rsidRDefault="006340FF" w:rsidP="004D7FFA">
      <w:pPr>
        <w:spacing w:after="0" w:line="360" w:lineRule="auto"/>
      </w:pPr>
    </w:p>
    <w:p w:rsidR="007F5ADE" w:rsidRDefault="006340FF" w:rsidP="004D7FFA">
      <w:pPr>
        <w:spacing w:after="0" w:line="360" w:lineRule="auto"/>
      </w:pPr>
      <w:r w:rsidRPr="00CE7C88">
        <w:t>Program Description:</w:t>
      </w:r>
      <w:r>
        <w:t xml:space="preserve">  </w:t>
      </w:r>
      <w:r w:rsidR="0052225C">
        <w:t>The Food &amp; Nutrition program has f</w:t>
      </w:r>
      <w:r w:rsidR="007F5ADE">
        <w:t>ive areas of study: Nutrition, Culinary Arts, F</w:t>
      </w:r>
      <w:r w:rsidR="0052225C">
        <w:t>ood Management, Dietetic Services and Child Nutrition Management. Each a</w:t>
      </w:r>
      <w:r w:rsidR="007F5ADE">
        <w:t>rea of study offers a program that</w:t>
      </w:r>
      <w:r w:rsidR="0052225C">
        <w:t xml:space="preserve"> integrates theoretical and practical course work to prepare the student </w:t>
      </w:r>
      <w:r w:rsidR="007F5ADE">
        <w:t>for the service areas work force.</w:t>
      </w:r>
      <w:r>
        <w:t xml:space="preserve"> </w:t>
      </w:r>
    </w:p>
    <w:p w:rsidR="007F5ADE" w:rsidRDefault="007F5ADE" w:rsidP="004D7FFA">
      <w:pPr>
        <w:spacing w:after="0" w:line="360" w:lineRule="auto"/>
      </w:pPr>
    </w:p>
    <w:p w:rsidR="006340FF" w:rsidRDefault="007F5ADE" w:rsidP="004D7FFA">
      <w:pPr>
        <w:spacing w:after="0" w:line="360" w:lineRule="auto"/>
        <w:rPr>
          <w:color w:val="00B050"/>
        </w:rPr>
      </w:pPr>
      <w:r>
        <w:t>Degrees and Certificates: Certificates of Achievemen</w:t>
      </w:r>
      <w:r w:rsidR="00261D30">
        <w:t>t; Child Nutrition Management, C</w:t>
      </w:r>
      <w:r>
        <w:t>ulinary Arts, Dietetic Services Supervisor. Degrees: Child Nutrition Manage</w:t>
      </w:r>
      <w:r w:rsidR="00261D30">
        <w:t>ment – AS, Culinary Arts – AS, F</w:t>
      </w:r>
      <w:r>
        <w:t>ood Service Management - AS</w:t>
      </w:r>
    </w:p>
    <w:p w:rsidR="006B6601" w:rsidRDefault="006B6601"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15822" w:rsidRPr="00615822" w:rsidRDefault="007F5ADE" w:rsidP="00075DAB">
      <w:pPr>
        <w:pStyle w:val="ListParagraph"/>
        <w:numPr>
          <w:ilvl w:val="0"/>
          <w:numId w:val="9"/>
        </w:numPr>
        <w:spacing w:after="0" w:line="360" w:lineRule="auto"/>
        <w:rPr>
          <w:rFonts w:cstheme="minorHAnsi"/>
        </w:rPr>
      </w:pPr>
      <w:r>
        <w:t xml:space="preserve">The Continual </w:t>
      </w:r>
      <w:r w:rsidR="00261D30">
        <w:t>assessment of the Food &amp; Nutrition Program (each semester) has</w:t>
      </w:r>
      <w:r>
        <w:t xml:space="preserve"> offered the faculty and staff the opportunity to fine tune several core cou</w:t>
      </w:r>
      <w:r w:rsidR="00615822">
        <w:t>rses. After assessing low student success and retention rates in the program’s introduction to food Service we have implemented a general placement for the students who need math remediation and writing remediation early in the semester. This allows the student time to seek academic development that enhances their abilities for success.</w:t>
      </w:r>
    </w:p>
    <w:p w:rsidR="00615822" w:rsidRDefault="00615822" w:rsidP="00615822">
      <w:pPr>
        <w:pStyle w:val="ListParagraph"/>
        <w:spacing w:after="0" w:line="360" w:lineRule="auto"/>
        <w:ind w:left="360"/>
      </w:pPr>
      <w:r>
        <w:t>During our assessment we have looked at our success and retention rates. We feel that keeping our semester plans for an Open House and Culinary Arts Symposium greatly affect student success and retention rates.</w:t>
      </w:r>
    </w:p>
    <w:p w:rsidR="00C500A9" w:rsidRDefault="00615822" w:rsidP="00615822">
      <w:pPr>
        <w:pStyle w:val="ListParagraph"/>
        <w:spacing w:after="0" w:line="360" w:lineRule="auto"/>
        <w:ind w:left="360"/>
      </w:pPr>
      <w:r>
        <w:t>The Food &amp; Nutrition’s success and retention rates in each of the last five (5) years are equal or greater than the college’s percentage.</w:t>
      </w:r>
    </w:p>
    <w:p w:rsidR="006340FF" w:rsidRPr="007250C9" w:rsidRDefault="00C500A9" w:rsidP="00615822">
      <w:pPr>
        <w:pStyle w:val="ListParagraph"/>
        <w:spacing w:after="0" w:line="360" w:lineRule="auto"/>
        <w:ind w:left="360"/>
        <w:rPr>
          <w:rFonts w:cstheme="minorHAnsi"/>
        </w:rPr>
      </w:pPr>
      <w:r>
        <w:lastRenderedPageBreak/>
        <w:t>The Nutrition Faculty annual assessment has improved the success and retention rates in each of the last (5) five years to equal or better the college percentages.</w:t>
      </w:r>
    </w:p>
    <w:p w:rsidR="006340FF" w:rsidRPr="0087586F" w:rsidRDefault="00E83DF1" w:rsidP="00075DAB">
      <w:pPr>
        <w:pStyle w:val="ListParagraph"/>
        <w:numPr>
          <w:ilvl w:val="0"/>
          <w:numId w:val="9"/>
        </w:numPr>
        <w:spacing w:after="0" w:line="360" w:lineRule="auto"/>
        <w:rPr>
          <w:rFonts w:cstheme="minorHAnsi"/>
        </w:rPr>
      </w:pPr>
      <w:r>
        <w:t>The assessment of the Cul</w:t>
      </w:r>
      <w:r w:rsidR="00C500A9">
        <w:t>in</w:t>
      </w:r>
      <w:r>
        <w:t>a</w:t>
      </w:r>
      <w:r w:rsidR="00C500A9">
        <w:t>ry Program resulted in a request of funds from VTEA</w:t>
      </w:r>
      <w:r>
        <w:t xml:space="preserve">, </w:t>
      </w:r>
      <w:r w:rsidR="00C500A9">
        <w:t>to update or continue the Open House, E</w:t>
      </w:r>
      <w:r>
        <w:t>XPO and upgrade the program lite</w:t>
      </w:r>
      <w:r w:rsidR="00C500A9">
        <w:t>rature. The assessment outcomes show a lack of space to operate The Renegade Room. Expansion of the Program cannot be done in the present facility. By administrative request, the Food &amp; Nutrition program presented an expa</w:t>
      </w:r>
      <w:r>
        <w:t>n</w:t>
      </w:r>
      <w:r w:rsidR="00C500A9">
        <w:t xml:space="preserve">sion plan to the college president for consideration, </w:t>
      </w:r>
      <w:r>
        <w:t>the</w:t>
      </w:r>
      <w:r w:rsidR="00C500A9">
        <w:t xml:space="preserve"> plan know</w:t>
      </w:r>
      <w:r>
        <w:t>n</w:t>
      </w:r>
      <w:r w:rsidR="00C500A9">
        <w:t xml:space="preserve"> as the Culinary Arts Restructuring.</w:t>
      </w:r>
    </w:p>
    <w:p w:rsidR="0087586F" w:rsidRPr="0087586F" w:rsidRDefault="00E83DF1" w:rsidP="00075DAB">
      <w:pPr>
        <w:pStyle w:val="ListParagraph"/>
        <w:numPr>
          <w:ilvl w:val="0"/>
          <w:numId w:val="9"/>
        </w:numPr>
        <w:spacing w:after="0" w:line="360" w:lineRule="auto"/>
      </w:pPr>
      <w:r>
        <w:rPr>
          <w:rFonts w:cstheme="minorHAnsi"/>
        </w:rPr>
        <w:t>Our program PLO’s aligned with our course SLO’s because we integrate the theoretical and the hands-on learning opportunities for the students as we provide those opportunities for the student to work community events.</w:t>
      </w:r>
      <w:r w:rsidR="000B1D46">
        <w:rPr>
          <w:rFonts w:cstheme="minorHAnsi"/>
        </w:rPr>
        <w:t xml:space="preserve"> In our hand-on learning lab, we need to upgrade our knives to the new micro-bacterial type of knife and fill in the remainder of the silverware so that it all matches and reflects the quality of a good dining experience.</w:t>
      </w:r>
    </w:p>
    <w:p w:rsidR="006340FF" w:rsidRPr="003C1DC7" w:rsidRDefault="00E83DF1" w:rsidP="00075DAB">
      <w:pPr>
        <w:pStyle w:val="ListParagraph"/>
        <w:numPr>
          <w:ilvl w:val="0"/>
          <w:numId w:val="9"/>
        </w:numPr>
        <w:spacing w:after="0" w:line="360" w:lineRule="auto"/>
      </w:pPr>
      <w:r>
        <w:t>Since the last 2013-2014 annual program review was completed for the Family and Consumer Education Department, the major weakness was to improve success and retention rates for the department. Per trend data, the Food &amp; Nutrition Department has maintained its success and retention rate above the college wide average.</w:t>
      </w:r>
      <w:r w:rsidR="006340FF" w:rsidRPr="003C1DC7">
        <w:t xml:space="preserve"> </w:t>
      </w:r>
    </w:p>
    <w:p w:rsidR="006340FF" w:rsidRDefault="00E83DF1" w:rsidP="00075DAB">
      <w:pPr>
        <w:pStyle w:val="ListParagraph"/>
        <w:numPr>
          <w:ilvl w:val="0"/>
          <w:numId w:val="9"/>
        </w:numPr>
        <w:spacing w:after="0" w:line="360" w:lineRule="auto"/>
        <w:rPr>
          <w:rFonts w:cstheme="minorHAnsi"/>
        </w:rPr>
      </w:pPr>
      <w:r>
        <w:rPr>
          <w:rFonts w:cstheme="minorHAnsi"/>
        </w:rPr>
        <w:t>One of the most significant changes in the programs strengths has been the addition of a new (interim) faculty member. A new energy and spir</w:t>
      </w:r>
      <w:r w:rsidR="00BF1C8C">
        <w:rPr>
          <w:rFonts w:cstheme="minorHAnsi"/>
        </w:rPr>
        <w:t>it has been brought forward. This</w:t>
      </w:r>
      <w:r>
        <w:rPr>
          <w:rFonts w:cstheme="minorHAnsi"/>
        </w:rPr>
        <w:t xml:space="preserve"> has favorably impacted the student learning success.</w:t>
      </w:r>
    </w:p>
    <w:p w:rsidR="006340FF" w:rsidRPr="00A1600D" w:rsidRDefault="00A1600D" w:rsidP="00A1600D">
      <w:pPr>
        <w:pStyle w:val="ListParagraph"/>
        <w:numPr>
          <w:ilvl w:val="0"/>
          <w:numId w:val="9"/>
        </w:numPr>
        <w:spacing w:after="0" w:line="360" w:lineRule="auto"/>
        <w:rPr>
          <w:rFonts w:cstheme="minorHAnsi"/>
        </w:rPr>
      </w:pPr>
      <w:r>
        <w:rPr>
          <w:rFonts w:cstheme="minorHAnsi"/>
        </w:rPr>
        <w:t>One of our programs weaknesses is the lack of beginning skills training for the student prior to entering a lab. We have implemented new training that can give the students additional skills training.</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572E41" w:rsidRPr="00572E41" w:rsidRDefault="00BF1C8C" w:rsidP="00572E41">
      <w:pPr>
        <w:pStyle w:val="ListParagraph"/>
        <w:numPr>
          <w:ilvl w:val="0"/>
          <w:numId w:val="7"/>
        </w:numPr>
        <w:spacing w:after="0" w:line="360" w:lineRule="auto"/>
        <w:ind w:left="720"/>
        <w:rPr>
          <w:rFonts w:cstheme="minorHAnsi"/>
        </w:rPr>
      </w:pPr>
      <w:r>
        <w:rPr>
          <w:rFonts w:cstheme="minorHAnsi"/>
        </w:rPr>
        <w:t xml:space="preserve">The Food &amp; Nutrition Program is requesting the addition of one full time tenure tract position. This additional Chef Instructor meets the Bakersfield College budget decision of </w:t>
      </w:r>
      <w:r w:rsidR="00CE4630">
        <w:rPr>
          <w:rFonts w:cstheme="minorHAnsi"/>
        </w:rPr>
        <w:t xml:space="preserve">our </w:t>
      </w:r>
      <w:r>
        <w:rPr>
          <w:rFonts w:cstheme="minorHAnsi"/>
        </w:rPr>
        <w:t xml:space="preserve">Core Mission as it relates </w:t>
      </w:r>
      <w:r w:rsidR="00572E41">
        <w:rPr>
          <w:rFonts w:cstheme="minorHAnsi"/>
        </w:rPr>
        <w:t>to Career</w:t>
      </w:r>
      <w:r>
        <w:rPr>
          <w:rFonts w:cstheme="minorHAnsi"/>
        </w:rPr>
        <w:t xml:space="preserve"> Technical Education (CTE)</w:t>
      </w:r>
      <w:r w:rsidR="00572E41">
        <w:rPr>
          <w:rFonts w:cstheme="minorHAnsi"/>
        </w:rPr>
        <w:t>. An</w:t>
      </w:r>
      <w:r w:rsidR="00CE4630">
        <w:rPr>
          <w:rFonts w:cstheme="minorHAnsi"/>
        </w:rPr>
        <w:t xml:space="preserve"> additional instructor will improve our program structures for student </w:t>
      </w:r>
      <w:r w:rsidR="00572E41">
        <w:rPr>
          <w:rFonts w:cstheme="minorHAnsi"/>
        </w:rPr>
        <w:t>achievement and</w:t>
      </w:r>
      <w:r w:rsidR="00CE4630">
        <w:rPr>
          <w:rFonts w:cstheme="minorHAnsi"/>
        </w:rPr>
        <w:t xml:space="preserve"> improve our student learning outcomes as well as the </w:t>
      </w:r>
      <w:r w:rsidR="00572E41">
        <w:rPr>
          <w:rFonts w:cstheme="minorHAnsi"/>
        </w:rPr>
        <w:t>programs academic</w:t>
      </w:r>
      <w:r w:rsidR="00CE4630">
        <w:rPr>
          <w:rFonts w:cstheme="minorHAnsi"/>
        </w:rPr>
        <w:t xml:space="preserve"> quality. This faculty position in the Food &amp; Nutrition Program due to the full-time </w:t>
      </w:r>
      <w:r w:rsidR="006332F3">
        <w:rPr>
          <w:rFonts w:cstheme="minorHAnsi"/>
        </w:rPr>
        <w:t xml:space="preserve">equivalent </w:t>
      </w:r>
      <w:r w:rsidR="00CE4630">
        <w:rPr>
          <w:rFonts w:cstheme="minorHAnsi"/>
        </w:rPr>
        <w:t>faculty for Culinary A</w:t>
      </w:r>
      <w:r w:rsidR="006332F3">
        <w:rPr>
          <w:rFonts w:cstheme="minorHAnsi"/>
        </w:rPr>
        <w:t>rts is between 2.80 and 3.30</w:t>
      </w:r>
      <w:r w:rsidR="00CE4630">
        <w:rPr>
          <w:rFonts w:cstheme="minorHAnsi"/>
        </w:rPr>
        <w:t xml:space="preserve"> depending on the semester. The culinary Arts Pr</w:t>
      </w:r>
      <w:r w:rsidR="006332F3">
        <w:rPr>
          <w:rFonts w:cstheme="minorHAnsi"/>
        </w:rPr>
        <w:t>ogram generates approximately 83</w:t>
      </w:r>
      <w:r w:rsidR="00CE4630">
        <w:rPr>
          <w:rFonts w:cstheme="minorHAnsi"/>
        </w:rPr>
        <w:t xml:space="preserve"> FTES annually. The total FTES for Food &amp; Nutrit</w:t>
      </w:r>
      <w:r w:rsidR="006332F3">
        <w:rPr>
          <w:rFonts w:cstheme="minorHAnsi"/>
        </w:rPr>
        <w:t>ion Program is approximately 217</w:t>
      </w:r>
      <w:r w:rsidR="00CE4630">
        <w:rPr>
          <w:rFonts w:cstheme="minorHAnsi"/>
        </w:rPr>
        <w:t>.2 FTES.</w:t>
      </w:r>
    </w:p>
    <w:p w:rsidR="00572E41" w:rsidRPr="00572E41" w:rsidRDefault="00572E41" w:rsidP="00572E41">
      <w:pPr>
        <w:pStyle w:val="ListParagraph"/>
        <w:numPr>
          <w:ilvl w:val="0"/>
          <w:numId w:val="7"/>
        </w:numPr>
        <w:spacing w:after="0" w:line="360" w:lineRule="auto"/>
        <w:ind w:left="720"/>
        <w:rPr>
          <w:rFonts w:cstheme="minorHAnsi"/>
        </w:rPr>
      </w:pPr>
      <w:r>
        <w:t>In the p</w:t>
      </w:r>
      <w:r w:rsidR="00261D30">
        <w:t>ast fiscal year the faculty was</w:t>
      </w:r>
      <w:r>
        <w:t xml:space="preserve"> unable to attend any professional development seminars or conferences. We usually do every other year or so to remain current with the trends of the industry. This </w:t>
      </w:r>
      <w:r>
        <w:lastRenderedPageBreak/>
        <w:t>coming year would be a perfect time to look at the possibilities of a professional development conference.</w:t>
      </w:r>
    </w:p>
    <w:p w:rsidR="00572E41" w:rsidRPr="00572E41" w:rsidRDefault="00930D3C" w:rsidP="00572E41">
      <w:pPr>
        <w:pStyle w:val="ListParagraph"/>
        <w:numPr>
          <w:ilvl w:val="1"/>
          <w:numId w:val="7"/>
        </w:numPr>
        <w:spacing w:after="0" w:line="360" w:lineRule="auto"/>
        <w:rPr>
          <w:rFonts w:cstheme="minorHAnsi"/>
        </w:rPr>
      </w:pPr>
      <w:r>
        <w:t>The facu</w:t>
      </w:r>
      <w:r w:rsidR="00CE4630">
        <w:t xml:space="preserve">lty in the Food &amp; Nutrition Program would like to request the participation in the “Menus of Change” conference as it relate to Professional Development. </w:t>
      </w:r>
      <w:r w:rsidRPr="00930D3C">
        <w:t xml:space="preserve">Menus of Change: The Business of Healthy, Sustainable, and Delicious Food Choices is a </w:t>
      </w:r>
      <w:r w:rsidR="00572E41" w:rsidRPr="00930D3C">
        <w:t>groundbreaking</w:t>
      </w:r>
      <w:r w:rsidRPr="00930D3C">
        <w:t xml:space="preserve"> initiative from The Culinary Institute of America and Harvard School of Public Health, Department of </w:t>
      </w:r>
      <w:r w:rsidR="00572E41" w:rsidRPr="00930D3C">
        <w:t>Nutrition, which</w:t>
      </w:r>
      <w:r w:rsidRPr="00930D3C">
        <w:t xml:space="preserve"> examines these key issues. Launched in 2012, the goal of the initiative is to create a world-class structure of collaboration between leaders in nutrition research and public health, the environmental sciences and sustainability, the culinary arts, business, and management</w:t>
      </w:r>
      <w:r w:rsidRPr="00572E41">
        <w:rPr>
          <w:rFonts w:asciiTheme="minorHAnsi" w:hAnsiTheme="minorHAnsi"/>
          <w:color w:val="222222"/>
          <w:shd w:val="clear" w:color="auto" w:fill="E7E7E7"/>
        </w:rPr>
        <w:t>.</w:t>
      </w:r>
      <w:r w:rsidRPr="00572E41">
        <w:rPr>
          <w:rFonts w:ascii="Helvetica" w:hAnsi="Helvetica"/>
          <w:color w:val="222222"/>
          <w:shd w:val="clear" w:color="auto" w:fill="E7E7E7"/>
        </w:rPr>
        <w:t> </w:t>
      </w:r>
      <w:r w:rsidR="006340FF" w:rsidRPr="00346A0A">
        <w:t xml:space="preserve">  </w:t>
      </w:r>
      <w:r w:rsidR="006340FF" w:rsidRPr="00572E41">
        <w:rPr>
          <w:color w:val="0033CC"/>
          <w:u w:val="single"/>
        </w:rPr>
        <w:t>(Professional Development form)</w:t>
      </w:r>
    </w:p>
    <w:p w:rsidR="006340FF" w:rsidRPr="00572E41" w:rsidRDefault="00930D3C" w:rsidP="00572E41">
      <w:pPr>
        <w:pStyle w:val="ListParagraph"/>
        <w:numPr>
          <w:ilvl w:val="1"/>
          <w:numId w:val="7"/>
        </w:numPr>
        <w:spacing w:after="0" w:line="360" w:lineRule="auto"/>
        <w:rPr>
          <w:rFonts w:cstheme="minorHAnsi"/>
        </w:rPr>
      </w:pPr>
      <w:r>
        <w:t xml:space="preserve">The ability of the faculty to stay on the forefront of new food preparation techniques and reasoning as it relates to our curriculum is paramount to our </w:t>
      </w:r>
      <w:r w:rsidR="00572E41">
        <w:t>student’s</w:t>
      </w:r>
      <w:r>
        <w:t xml:space="preserve"> futures. As we invest in our faculty on these issues we prove the concern for our futures</w:t>
      </w:r>
      <w:r w:rsidR="006340FF" w:rsidRPr="00A86FE9">
        <w:t>.</w:t>
      </w:r>
      <w:r>
        <w:t xml:space="preserve"> This directly translates to our students in the way our curriculum is delivered and changed to meet those needs.</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E153B9" w:rsidRDefault="00E153B9" w:rsidP="00E153B9">
      <w:pPr>
        <w:pStyle w:val="ListParagraph"/>
        <w:numPr>
          <w:ilvl w:val="1"/>
          <w:numId w:val="2"/>
        </w:numPr>
        <w:spacing w:after="0"/>
        <w:rPr>
          <w:rFonts w:cstheme="minorHAnsi"/>
        </w:rPr>
      </w:pPr>
      <w:r w:rsidRPr="00E153B9">
        <w:rPr>
          <w:rFonts w:cstheme="minorHAnsi"/>
        </w:rPr>
        <w:t xml:space="preserve">The Renegade room kitchen has received a new exhaust blower system for the kitchen. The new system has greatly improved the working conditions for the student enrolled in lab classes.  We are now in compliance with the OSHA standards for this unit. </w:t>
      </w:r>
    </w:p>
    <w:p w:rsidR="00E153B9" w:rsidRPr="00E153B9" w:rsidRDefault="00E153B9" w:rsidP="00E153B9">
      <w:pPr>
        <w:spacing w:after="0"/>
        <w:rPr>
          <w:rFonts w:cstheme="minorHAnsi"/>
        </w:rPr>
      </w:pPr>
      <w:r>
        <w:rPr>
          <w:rFonts w:cstheme="minorHAnsi"/>
        </w:rPr>
        <w:t xml:space="preserve">     </w:t>
      </w:r>
      <w:r w:rsidRPr="00E153B9">
        <w:rPr>
          <w:rFonts w:cstheme="minorHAnsi"/>
        </w:rPr>
        <w:t>We are requesting that the furniture in FACE 23 be updated.</w:t>
      </w:r>
    </w:p>
    <w:p w:rsidR="00E153B9" w:rsidRDefault="00E153B9" w:rsidP="00E153B9">
      <w:pPr>
        <w:spacing w:after="0"/>
        <w:rPr>
          <w:rFonts w:cstheme="minorHAnsi"/>
        </w:rPr>
      </w:pPr>
      <w:r>
        <w:rPr>
          <w:rFonts w:cstheme="minorHAnsi"/>
        </w:rPr>
        <w:t xml:space="preserve">     </w:t>
      </w:r>
      <w:r w:rsidRPr="00E153B9">
        <w:rPr>
          <w:rFonts w:cstheme="minorHAnsi"/>
        </w:rPr>
        <w:t xml:space="preserve">We are requesting furniture for the reception area of the Renegade Room Restaurant </w:t>
      </w:r>
      <w:proofErr w:type="gramStart"/>
      <w:r w:rsidRPr="00E153B9">
        <w:rPr>
          <w:rFonts w:cstheme="minorHAnsi"/>
        </w:rPr>
        <w:t>be</w:t>
      </w:r>
      <w:proofErr w:type="gramEnd"/>
      <w:r w:rsidRPr="00E153B9">
        <w:rPr>
          <w:rFonts w:cstheme="minorHAnsi"/>
        </w:rPr>
        <w:t xml:space="preserve"> purchased.</w:t>
      </w:r>
    </w:p>
    <w:p w:rsidR="00E153B9" w:rsidRPr="00E153B9" w:rsidRDefault="00E153B9" w:rsidP="00E153B9">
      <w:pPr>
        <w:spacing w:after="0"/>
        <w:rPr>
          <w:rFonts w:cstheme="minorHAnsi"/>
        </w:rPr>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794E94" w:rsidRPr="008E2F52" w:rsidRDefault="00794E94" w:rsidP="00794E94">
      <w:pPr>
        <w:pStyle w:val="ListParagraph"/>
        <w:numPr>
          <w:ilvl w:val="0"/>
          <w:numId w:val="19"/>
        </w:numPr>
        <w:spacing w:after="0"/>
        <w:rPr>
          <w:rFonts w:cstheme="minorHAnsi"/>
        </w:rPr>
      </w:pPr>
      <w:r>
        <w:rPr>
          <w:rFonts w:cstheme="minorHAnsi"/>
        </w:rPr>
        <w:t xml:space="preserve">New </w:t>
      </w:r>
      <w:r w:rsidRPr="008E2F52">
        <w:rPr>
          <w:rFonts w:cstheme="minorHAnsi"/>
        </w:rPr>
        <w:t xml:space="preserve">technology </w:t>
      </w:r>
    </w:p>
    <w:p w:rsidR="00794E94" w:rsidRPr="00E153B9" w:rsidRDefault="00794E94" w:rsidP="00E153B9">
      <w:pPr>
        <w:pStyle w:val="ListParagraph"/>
        <w:numPr>
          <w:ilvl w:val="1"/>
          <w:numId w:val="18"/>
        </w:numPr>
        <w:spacing w:after="0"/>
        <w:rPr>
          <w:rFonts w:cstheme="minorHAnsi"/>
        </w:rPr>
      </w:pPr>
      <w:r>
        <w:rPr>
          <w:rFonts w:cstheme="minorHAnsi"/>
        </w:rPr>
        <w:t xml:space="preserve">The Food and Nutrition Program is adding more computer requirements from course textbooks and software requirements from courses.  It is time, with our partners Child Development to ask for a computer lab in the FACE Building.  FACE 13 can be returned to the Department or remodel FACE 12.  The added computer stations would relieve the hallway congestion for Food Service and Nutrition classes.  The evaluation of the technology would be in the usage and success rate of the students.  </w:t>
      </w:r>
      <w:r w:rsidRPr="00E153B9">
        <w:rPr>
          <w:rFonts w:cstheme="minorHAnsi"/>
        </w:rPr>
        <w:t>There would be added computer stations on the northeast side of the campus to be used by all students of Bakersfield College</w:t>
      </w:r>
    </w:p>
    <w:p w:rsidR="000B1D46" w:rsidRPr="000B1D46" w:rsidRDefault="000B1D46" w:rsidP="000B1D46">
      <w:pPr>
        <w:pStyle w:val="ListParagraph"/>
        <w:rPr>
          <w:rFonts w:cstheme="minorHAnsi"/>
        </w:rPr>
      </w:pPr>
    </w:p>
    <w:p w:rsidR="00E153B9" w:rsidRDefault="00E153B9" w:rsidP="00E153B9">
      <w:pPr>
        <w:pStyle w:val="ListParagraph"/>
        <w:numPr>
          <w:ilvl w:val="1"/>
          <w:numId w:val="18"/>
        </w:numPr>
        <w:spacing w:after="0"/>
        <w:rPr>
          <w:rFonts w:cstheme="minorHAnsi"/>
        </w:rPr>
      </w:pPr>
      <w:r>
        <w:rPr>
          <w:rFonts w:cstheme="minorHAnsi"/>
        </w:rPr>
        <w:t>We are requesting adding one computer station for the FACE adjunct faculty members to utilize.</w:t>
      </w:r>
    </w:p>
    <w:p w:rsidR="00794E94" w:rsidRPr="00794E94" w:rsidRDefault="00794E94" w:rsidP="00794E94">
      <w:pPr>
        <w:pStyle w:val="ListParagraph"/>
        <w:rPr>
          <w:rFonts w:cstheme="minorHAnsi"/>
        </w:rPr>
      </w:pPr>
    </w:p>
    <w:p w:rsidR="00794E94" w:rsidRDefault="00794E94" w:rsidP="00794E94">
      <w:pPr>
        <w:pStyle w:val="ListParagraph"/>
        <w:spacing w:after="0"/>
        <w:ind w:left="0"/>
      </w:pPr>
      <w:r>
        <w:rPr>
          <w:b/>
          <w:u w:val="single"/>
        </w:rPr>
        <w:t>IV. Trend</w:t>
      </w:r>
      <w:r w:rsidRPr="00442712">
        <w:rPr>
          <w:b/>
          <w:u w:val="single"/>
        </w:rPr>
        <w:t xml:space="preserve"> Data Analysis:</w:t>
      </w:r>
      <w:r>
        <w:t xml:space="preserve"> </w:t>
      </w:r>
    </w:p>
    <w:p w:rsidR="00794E94" w:rsidRDefault="00794E94" w:rsidP="00794E94">
      <w:pPr>
        <w:pStyle w:val="ListParagraph"/>
        <w:spacing w:after="0"/>
        <w:ind w:left="0"/>
        <w:rPr>
          <w:rFonts w:cstheme="minorHAnsi"/>
        </w:rPr>
      </w:pPr>
      <w:r>
        <w:rPr>
          <w:rFonts w:cstheme="minorHAnsi"/>
        </w:rPr>
        <w:t>Discuss</w:t>
      </w:r>
      <w:r w:rsidRPr="00B1011E">
        <w:rPr>
          <w:rFonts w:cstheme="minorHAnsi"/>
        </w:rPr>
        <w:t xml:space="preserve"> any significant changes in data</w:t>
      </w:r>
      <w:r>
        <w:rPr>
          <w:rFonts w:cstheme="minorHAnsi"/>
        </w:rPr>
        <w:t xml:space="preserve"> trends over the last year using data</w:t>
      </w:r>
      <w:r w:rsidRPr="00B1011E">
        <w:rPr>
          <w:rFonts w:cstheme="minorHAnsi"/>
        </w:rPr>
        <w:t xml:space="preserve"> provid</w:t>
      </w:r>
      <w:r>
        <w:rPr>
          <w:rFonts w:cstheme="minorHAnsi"/>
        </w:rPr>
        <w:t>ed by Institutional Research.  Metrics may include the following:</w:t>
      </w:r>
    </w:p>
    <w:p w:rsidR="00794E94" w:rsidRPr="0035569E" w:rsidRDefault="00794E94" w:rsidP="00794E94">
      <w:pPr>
        <w:pStyle w:val="ListParagraph"/>
        <w:numPr>
          <w:ilvl w:val="0"/>
          <w:numId w:val="20"/>
        </w:numPr>
        <w:spacing w:after="0"/>
        <w:rPr>
          <w:rFonts w:cstheme="minorHAnsi"/>
        </w:rPr>
      </w:pPr>
      <w:r>
        <w:rPr>
          <w:rFonts w:cstheme="minorHAnsi"/>
        </w:rPr>
        <w:lastRenderedPageBreak/>
        <w:t xml:space="preserve">The Food and Nutrition student demographics have not specifically changed over the last (5) five years.  The one area of concern is the area ethnicity for African Americans.  The percentage has dropped from 2010-2011 (15%) to 2012-2013 (8%).   The percentage is still higher than the college wide percentages.  Recruitment activities and funds will be directed at the African-American community.  </w:t>
      </w:r>
    </w:p>
    <w:p w:rsidR="00794E94" w:rsidRPr="0035569E" w:rsidRDefault="00CA40D5" w:rsidP="00794E94">
      <w:pPr>
        <w:pStyle w:val="ListParagraph"/>
        <w:numPr>
          <w:ilvl w:val="0"/>
          <w:numId w:val="20"/>
        </w:numPr>
        <w:spacing w:after="0"/>
        <w:rPr>
          <w:rFonts w:cstheme="minorHAnsi"/>
        </w:rPr>
      </w:pPr>
      <w:r>
        <w:rPr>
          <w:rFonts w:cstheme="minorHAnsi"/>
        </w:rPr>
        <w:t xml:space="preserve">The </w:t>
      </w:r>
      <w:r w:rsidR="00794E94">
        <w:rPr>
          <w:rFonts w:cstheme="minorHAnsi"/>
        </w:rPr>
        <w:t>reduction of sections from 32 sections in 2008-2009 to 26 sections in 2012-2013 has caused a reduction in enrollment headcount</w:t>
      </w:r>
      <w:r>
        <w:rPr>
          <w:rFonts w:cstheme="minorHAnsi"/>
        </w:rPr>
        <w:t xml:space="preserve"> in Culinary Arts</w:t>
      </w:r>
      <w:r w:rsidR="00794E94">
        <w:rPr>
          <w:rFonts w:cstheme="minorHAnsi"/>
        </w:rPr>
        <w:t xml:space="preserve">, course enrollment and FTEs/FTEF productivity.  The Nutrition classes have been reduced from 36 sections in 2008-2009 to 27 sections in 2012-2013.  The Nutrition faculty has maintained a 25.1 FTEs/FTEF productivity rate which is higher than college wide FTEs/FTEF productivity rates.  The </w:t>
      </w:r>
      <w:r w:rsidR="00D370BE">
        <w:rPr>
          <w:rFonts w:cstheme="minorHAnsi"/>
        </w:rPr>
        <w:t>nature of Culinary Arts lab (Renegade Room) classes requires</w:t>
      </w:r>
      <w:r w:rsidR="00794E94">
        <w:rPr>
          <w:rFonts w:cstheme="minorHAnsi"/>
        </w:rPr>
        <w:t xml:space="preserve"> small enrollments for safety concerns.  </w:t>
      </w:r>
    </w:p>
    <w:p w:rsidR="00794E94" w:rsidRPr="0035569E" w:rsidRDefault="00794E94" w:rsidP="00794E94">
      <w:pPr>
        <w:pStyle w:val="ListParagraph"/>
        <w:numPr>
          <w:ilvl w:val="0"/>
          <w:numId w:val="20"/>
        </w:numPr>
        <w:spacing w:after="0"/>
        <w:rPr>
          <w:rFonts w:cstheme="minorHAnsi"/>
        </w:rPr>
      </w:pPr>
      <w:r>
        <w:rPr>
          <w:rFonts w:cstheme="minorHAnsi"/>
        </w:rPr>
        <w:t>There was concern over the success and retention rate of the only distance education class in the Food Program</w:t>
      </w:r>
      <w:r w:rsidR="00C54233">
        <w:rPr>
          <w:rFonts w:cstheme="minorHAnsi"/>
        </w:rPr>
        <w:t>; which</w:t>
      </w:r>
      <w:r>
        <w:rPr>
          <w:rFonts w:cstheme="minorHAnsi"/>
        </w:rPr>
        <w:t xml:space="preserve"> has led to the el</w:t>
      </w:r>
      <w:r w:rsidR="00C54233">
        <w:rPr>
          <w:rFonts w:cstheme="minorHAnsi"/>
        </w:rPr>
        <w:t>imination of the online sanitation class fro</w:t>
      </w:r>
      <w:r>
        <w:rPr>
          <w:rFonts w:cstheme="minorHAnsi"/>
        </w:rPr>
        <w:t>m our schedule and going back to a second face-to-face class in sanitati</w:t>
      </w:r>
      <w:r w:rsidR="00C54233">
        <w:rPr>
          <w:rFonts w:cstheme="minorHAnsi"/>
        </w:rPr>
        <w:t>on.  The Nutrition classes in</w:t>
      </w:r>
      <w:r>
        <w:rPr>
          <w:rFonts w:cstheme="minorHAnsi"/>
        </w:rPr>
        <w:t xml:space="preserve"> distance education had a large increase in success and retention rates because of better enrollment management procedures by the faculty.  </w:t>
      </w:r>
    </w:p>
    <w:p w:rsidR="00794E94" w:rsidRDefault="00794E94" w:rsidP="00794E94">
      <w:pPr>
        <w:pStyle w:val="ListParagraph"/>
        <w:numPr>
          <w:ilvl w:val="0"/>
          <w:numId w:val="20"/>
        </w:numPr>
        <w:spacing w:after="0"/>
        <w:rPr>
          <w:rFonts w:cstheme="minorHAnsi"/>
        </w:rPr>
      </w:pPr>
      <w:r w:rsidRPr="00442712">
        <w:rPr>
          <w:rFonts w:cstheme="minorHAnsi"/>
        </w:rPr>
        <w:t>Degrees and certificates awarded (five-year trend</w:t>
      </w:r>
      <w:r>
        <w:rPr>
          <w:rFonts w:cstheme="minorHAnsi"/>
        </w:rPr>
        <w:t xml:space="preserve"> data</w:t>
      </w:r>
      <w:r w:rsidRPr="00442712">
        <w:rPr>
          <w:rFonts w:cstheme="minorHAnsi"/>
        </w:rPr>
        <w:t xml:space="preserve"> </w:t>
      </w:r>
      <w:r>
        <w:rPr>
          <w:rFonts w:cstheme="minorHAnsi"/>
        </w:rPr>
        <w:t xml:space="preserve">for each </w:t>
      </w:r>
      <w:r w:rsidRPr="00442712">
        <w:rPr>
          <w:rFonts w:cstheme="minorHAnsi"/>
        </w:rPr>
        <w:t>degree and/or certificate award</w:t>
      </w:r>
      <w:r>
        <w:rPr>
          <w:rFonts w:cstheme="minorHAnsi"/>
        </w:rPr>
        <w:t>ed</w:t>
      </w:r>
      <w:r w:rsidRPr="00442712">
        <w:rPr>
          <w:rFonts w:cstheme="minorHAnsi"/>
        </w:rPr>
        <w:t xml:space="preserve">) </w:t>
      </w:r>
    </w:p>
    <w:p w:rsidR="006B6601" w:rsidRDefault="006B6601" w:rsidP="006B6601">
      <w:pPr>
        <w:pStyle w:val="ListParagraph"/>
        <w:spacing w:after="0"/>
        <w:rPr>
          <w:rFonts w:cstheme="minorHAnsi"/>
        </w:rPr>
      </w:pPr>
    </w:p>
    <w:p w:rsidR="00794E94" w:rsidRDefault="006332F3" w:rsidP="00794E94">
      <w:pPr>
        <w:pStyle w:val="ListParagraph"/>
        <w:spacing w:after="0"/>
        <w:ind w:left="3600"/>
        <w:rPr>
          <w:rFonts w:cstheme="minorHAnsi"/>
        </w:rPr>
      </w:pPr>
      <w:r>
        <w:rPr>
          <w:rFonts w:cstheme="minorHAnsi"/>
        </w:rPr>
        <w:t>2008-</w:t>
      </w:r>
      <w:proofErr w:type="gramStart"/>
      <w:r>
        <w:rPr>
          <w:rFonts w:cstheme="minorHAnsi"/>
        </w:rPr>
        <w:t>09  2009</w:t>
      </w:r>
      <w:proofErr w:type="gramEnd"/>
      <w:r>
        <w:rPr>
          <w:rFonts w:cstheme="minorHAnsi"/>
        </w:rPr>
        <w:t>-10    2010-11   2011-</w:t>
      </w:r>
      <w:r w:rsidR="00794E94">
        <w:rPr>
          <w:rFonts w:cstheme="minorHAnsi"/>
        </w:rPr>
        <w:t>12     2012</w:t>
      </w:r>
      <w:r>
        <w:rPr>
          <w:rFonts w:cstheme="minorHAnsi"/>
        </w:rPr>
        <w:t>-</w:t>
      </w:r>
      <w:r w:rsidR="00794E94">
        <w:rPr>
          <w:rFonts w:cstheme="minorHAnsi"/>
        </w:rPr>
        <w:t>13</w:t>
      </w:r>
      <w:r>
        <w:rPr>
          <w:rFonts w:cstheme="minorHAnsi"/>
        </w:rPr>
        <w:t xml:space="preserve">   totals</w:t>
      </w:r>
    </w:p>
    <w:p w:rsidR="00794E94" w:rsidRPr="00F653BC" w:rsidRDefault="00794E94" w:rsidP="00794E94">
      <w:pPr>
        <w:pStyle w:val="ListParagraph"/>
        <w:spacing w:after="0"/>
        <w:ind w:left="2160" w:firstLine="720"/>
        <w:rPr>
          <w:rFonts w:cstheme="minorHAnsi"/>
          <w:u w:val="single"/>
        </w:rPr>
      </w:pPr>
      <w:r>
        <w:rPr>
          <w:rFonts w:cstheme="minorHAnsi"/>
        </w:rPr>
        <w:t xml:space="preserve"> </w:t>
      </w:r>
      <w:r>
        <w:rPr>
          <w:rFonts w:cstheme="minorHAnsi"/>
        </w:rPr>
        <w:tab/>
      </w:r>
      <w:r w:rsidRPr="00F653BC">
        <w:rPr>
          <w:rFonts w:cstheme="minorHAnsi"/>
          <w:u w:val="single"/>
        </w:rPr>
        <w:t xml:space="preserve">D      </w:t>
      </w:r>
      <w:r w:rsidR="006332F3">
        <w:rPr>
          <w:rFonts w:cstheme="minorHAnsi"/>
          <w:u w:val="single"/>
        </w:rPr>
        <w:t xml:space="preserve">  C     D      C       </w:t>
      </w:r>
      <w:r w:rsidRPr="00F653BC">
        <w:rPr>
          <w:rFonts w:cstheme="minorHAnsi"/>
          <w:u w:val="single"/>
        </w:rPr>
        <w:t xml:space="preserve">D      </w:t>
      </w:r>
      <w:r w:rsidR="006332F3">
        <w:rPr>
          <w:rFonts w:cstheme="minorHAnsi"/>
          <w:u w:val="single"/>
        </w:rPr>
        <w:t xml:space="preserve"> C          D    C         D    </w:t>
      </w:r>
      <w:r w:rsidRPr="00F653BC">
        <w:rPr>
          <w:rFonts w:cstheme="minorHAnsi"/>
          <w:u w:val="single"/>
        </w:rPr>
        <w:t>C</w:t>
      </w:r>
      <w:r w:rsidR="006332F3">
        <w:rPr>
          <w:rFonts w:cstheme="minorHAnsi"/>
          <w:u w:val="single"/>
        </w:rPr>
        <w:t>___C___D_</w:t>
      </w:r>
    </w:p>
    <w:p w:rsidR="00794E94" w:rsidRDefault="00794E94" w:rsidP="00794E94">
      <w:pPr>
        <w:spacing w:after="0"/>
        <w:rPr>
          <w:rFonts w:cstheme="minorHAnsi"/>
        </w:rPr>
      </w:pPr>
      <w:r>
        <w:rPr>
          <w:rFonts w:cstheme="minorHAnsi"/>
        </w:rPr>
        <w:t xml:space="preserve">     Child Nutrition Management      </w:t>
      </w:r>
      <w:r w:rsidR="006332F3">
        <w:rPr>
          <w:rFonts w:cstheme="minorHAnsi"/>
        </w:rPr>
        <w:t xml:space="preserve">                               1                      </w:t>
      </w:r>
      <w:r>
        <w:rPr>
          <w:rFonts w:cstheme="minorHAnsi"/>
        </w:rPr>
        <w:t>1</w:t>
      </w:r>
      <w:r w:rsidR="006332F3">
        <w:rPr>
          <w:rFonts w:cstheme="minorHAnsi"/>
        </w:rPr>
        <w:t xml:space="preserve">                                                        1</w:t>
      </w:r>
    </w:p>
    <w:p w:rsidR="00794E94" w:rsidRDefault="00794E94" w:rsidP="00794E94">
      <w:pPr>
        <w:spacing w:after="0"/>
        <w:rPr>
          <w:rFonts w:cstheme="minorHAnsi"/>
        </w:rPr>
      </w:pPr>
      <w:r>
        <w:rPr>
          <w:rFonts w:cstheme="minorHAnsi"/>
        </w:rPr>
        <w:t xml:space="preserve">     Culinary Arts                                     </w:t>
      </w:r>
      <w:r w:rsidR="006332F3">
        <w:rPr>
          <w:rFonts w:cstheme="minorHAnsi"/>
        </w:rPr>
        <w:t xml:space="preserve">       2       </w:t>
      </w:r>
      <w:r>
        <w:rPr>
          <w:rFonts w:cstheme="minorHAnsi"/>
        </w:rPr>
        <w:t xml:space="preserve">2         </w:t>
      </w:r>
      <w:r w:rsidR="006332F3">
        <w:rPr>
          <w:rFonts w:cstheme="minorHAnsi"/>
        </w:rPr>
        <w:t xml:space="preserve"> 4      7     5       8        5      20         9    </w:t>
      </w:r>
      <w:r>
        <w:rPr>
          <w:rFonts w:cstheme="minorHAnsi"/>
        </w:rPr>
        <w:t>22</w:t>
      </w:r>
      <w:r w:rsidR="006332F3">
        <w:rPr>
          <w:rFonts w:cstheme="minorHAnsi"/>
        </w:rPr>
        <w:t xml:space="preserve">             59</w:t>
      </w:r>
    </w:p>
    <w:p w:rsidR="00794E94" w:rsidRDefault="00794E94" w:rsidP="00794E94">
      <w:pPr>
        <w:spacing w:after="0"/>
        <w:rPr>
          <w:rFonts w:cstheme="minorHAnsi"/>
        </w:rPr>
      </w:pPr>
      <w:r>
        <w:rPr>
          <w:rFonts w:cstheme="minorHAnsi"/>
        </w:rPr>
        <w:t xml:space="preserve">      Dietetic Services</w:t>
      </w:r>
      <w:r>
        <w:rPr>
          <w:rFonts w:cstheme="minorHAnsi"/>
        </w:rPr>
        <w:tab/>
      </w:r>
      <w:r>
        <w:rPr>
          <w:rFonts w:cstheme="minorHAnsi"/>
        </w:rPr>
        <w:tab/>
      </w:r>
      <w:r>
        <w:rPr>
          <w:rFonts w:cstheme="minorHAnsi"/>
        </w:rPr>
        <w:tab/>
        <w:t xml:space="preserve">         3         </w:t>
      </w:r>
      <w:r w:rsidR="006332F3">
        <w:rPr>
          <w:rFonts w:cstheme="minorHAnsi"/>
        </w:rPr>
        <w:t xml:space="preserve">         1               1                  1                  </w:t>
      </w:r>
      <w:r>
        <w:rPr>
          <w:rFonts w:cstheme="minorHAnsi"/>
        </w:rPr>
        <w:t>5</w:t>
      </w:r>
      <w:r w:rsidR="006332F3">
        <w:rPr>
          <w:rFonts w:cstheme="minorHAnsi"/>
        </w:rPr>
        <w:t xml:space="preserve">             11</w:t>
      </w:r>
    </w:p>
    <w:p w:rsidR="00794E94" w:rsidRPr="00F653BC" w:rsidRDefault="00794E94" w:rsidP="00794E94">
      <w:pPr>
        <w:spacing w:after="0"/>
        <w:rPr>
          <w:rFonts w:cstheme="minorHAnsi"/>
          <w:u w:val="single"/>
        </w:rPr>
      </w:pPr>
      <w:r>
        <w:rPr>
          <w:rFonts w:cstheme="minorHAnsi"/>
        </w:rPr>
        <w:t xml:space="preserve">      Food Management </w:t>
      </w:r>
      <w:r>
        <w:rPr>
          <w:rFonts w:cstheme="minorHAnsi"/>
        </w:rPr>
        <w:tab/>
      </w:r>
      <w:r>
        <w:rPr>
          <w:rFonts w:cstheme="minorHAnsi"/>
        </w:rPr>
        <w:tab/>
      </w:r>
      <w:r>
        <w:rPr>
          <w:rFonts w:cstheme="minorHAnsi"/>
        </w:rPr>
        <w:tab/>
      </w:r>
      <w:r w:rsidRPr="00F653BC">
        <w:rPr>
          <w:rFonts w:cstheme="minorHAnsi"/>
          <w:u w:val="single"/>
        </w:rPr>
        <w:t xml:space="preserve">2                  1          </w:t>
      </w:r>
      <w:r w:rsidR="006332F3">
        <w:rPr>
          <w:rFonts w:cstheme="minorHAnsi"/>
          <w:u w:val="single"/>
        </w:rPr>
        <w:t xml:space="preserve">    1                </w:t>
      </w:r>
      <w:r w:rsidRPr="00F653BC">
        <w:rPr>
          <w:rFonts w:cstheme="minorHAnsi"/>
          <w:u w:val="single"/>
        </w:rPr>
        <w:t xml:space="preserve"> 3                    1</w:t>
      </w:r>
      <w:r w:rsidR="006332F3">
        <w:rPr>
          <w:rFonts w:cstheme="minorHAnsi"/>
          <w:u w:val="single"/>
        </w:rPr>
        <w:t>________     9</w:t>
      </w:r>
    </w:p>
    <w:p w:rsidR="00794E94" w:rsidRPr="006B6601" w:rsidRDefault="00794E94" w:rsidP="00794E94">
      <w:pPr>
        <w:spacing w:after="0"/>
        <w:rPr>
          <w:rFonts w:cstheme="minorHAnsi"/>
          <w:highlight w:val="yellow"/>
        </w:rPr>
      </w:pPr>
      <w:r>
        <w:rPr>
          <w:rFonts w:cstheme="minorHAnsi"/>
        </w:rPr>
        <w:t xml:space="preserve">       </w:t>
      </w:r>
      <w:r w:rsidRPr="006B6601">
        <w:rPr>
          <w:rFonts w:cstheme="minorHAnsi"/>
          <w:highlight w:val="yellow"/>
        </w:rPr>
        <w:t>Totals</w:t>
      </w:r>
      <w:r w:rsidRPr="006B6601">
        <w:rPr>
          <w:rFonts w:cstheme="minorHAnsi"/>
          <w:highlight w:val="yellow"/>
        </w:rPr>
        <w:tab/>
      </w:r>
      <w:r w:rsidRPr="006B6601">
        <w:rPr>
          <w:rFonts w:cstheme="minorHAnsi"/>
          <w:highlight w:val="yellow"/>
        </w:rPr>
        <w:tab/>
      </w:r>
      <w:r w:rsidRPr="006B6601">
        <w:rPr>
          <w:rFonts w:cstheme="minorHAnsi"/>
          <w:highlight w:val="yellow"/>
        </w:rPr>
        <w:tab/>
      </w:r>
      <w:r w:rsidRPr="006B6601">
        <w:rPr>
          <w:rFonts w:cstheme="minorHAnsi"/>
          <w:highlight w:val="yellow"/>
        </w:rPr>
        <w:tab/>
        <w:t xml:space="preserve">4      </w:t>
      </w:r>
      <w:r w:rsidR="006332F3" w:rsidRPr="006B6601">
        <w:rPr>
          <w:rFonts w:cstheme="minorHAnsi"/>
          <w:highlight w:val="yellow"/>
        </w:rPr>
        <w:t xml:space="preserve">5         6       8      6     </w:t>
      </w:r>
      <w:r w:rsidRPr="006B6601">
        <w:rPr>
          <w:rFonts w:cstheme="minorHAnsi"/>
          <w:highlight w:val="yellow"/>
        </w:rPr>
        <w:t xml:space="preserve"> 10    </w:t>
      </w:r>
      <w:r w:rsidR="006332F3" w:rsidRPr="006B6601">
        <w:rPr>
          <w:rFonts w:cstheme="minorHAnsi"/>
          <w:highlight w:val="yellow"/>
        </w:rPr>
        <w:t xml:space="preserve">   8       21        10    </w:t>
      </w:r>
      <w:r w:rsidRPr="006B6601">
        <w:rPr>
          <w:rFonts w:cstheme="minorHAnsi"/>
          <w:highlight w:val="yellow"/>
        </w:rPr>
        <w:t>27</w:t>
      </w:r>
      <w:r w:rsidR="006332F3" w:rsidRPr="006B6601">
        <w:rPr>
          <w:rFonts w:cstheme="minorHAnsi"/>
          <w:highlight w:val="yellow"/>
        </w:rPr>
        <w:t xml:space="preserve">           71</w:t>
      </w:r>
    </w:p>
    <w:p w:rsidR="00794E94" w:rsidRDefault="00794E94" w:rsidP="00794E94">
      <w:pPr>
        <w:spacing w:after="0"/>
        <w:rPr>
          <w:rFonts w:cstheme="minorHAnsi"/>
        </w:rPr>
      </w:pPr>
      <w:r w:rsidRPr="006B6601">
        <w:rPr>
          <w:rFonts w:cstheme="minorHAnsi"/>
          <w:highlight w:val="yellow"/>
        </w:rPr>
        <w:t>National Restaurant Association</w:t>
      </w:r>
      <w:r>
        <w:rPr>
          <w:rFonts w:cstheme="minorHAnsi"/>
        </w:rPr>
        <w:t xml:space="preserve"> </w:t>
      </w:r>
    </w:p>
    <w:p w:rsidR="00794E94" w:rsidRDefault="00794E94" w:rsidP="00794E94">
      <w:pPr>
        <w:spacing w:after="0"/>
        <w:rPr>
          <w:rFonts w:cstheme="minorHAnsi"/>
        </w:rPr>
      </w:pPr>
      <w:r>
        <w:rPr>
          <w:rFonts w:cstheme="minorHAnsi"/>
        </w:rPr>
        <w:t xml:space="preserve">Sanitation Certificates                                                                                 </w:t>
      </w:r>
      <w:r w:rsidR="006332F3">
        <w:rPr>
          <w:rFonts w:cstheme="minorHAnsi"/>
        </w:rPr>
        <w:t xml:space="preserve">                   44       </w:t>
      </w:r>
      <w:r>
        <w:rPr>
          <w:rFonts w:cstheme="minorHAnsi"/>
        </w:rPr>
        <w:t>58</w:t>
      </w:r>
      <w:r w:rsidR="006332F3">
        <w:rPr>
          <w:rFonts w:cstheme="minorHAnsi"/>
        </w:rPr>
        <w:t xml:space="preserve">     62         164</w:t>
      </w:r>
    </w:p>
    <w:p w:rsidR="006B6601" w:rsidRDefault="006B6601" w:rsidP="00794E94">
      <w:pPr>
        <w:spacing w:after="0"/>
        <w:rPr>
          <w:rFonts w:cstheme="minorHAnsi"/>
        </w:rPr>
      </w:pPr>
    </w:p>
    <w:p w:rsidR="00794E94" w:rsidRPr="003172BB" w:rsidRDefault="00794E94" w:rsidP="00E153B9">
      <w:pPr>
        <w:pStyle w:val="ListParagraph"/>
        <w:numPr>
          <w:ilvl w:val="0"/>
          <w:numId w:val="20"/>
        </w:numPr>
        <w:spacing w:after="0"/>
        <w:rPr>
          <w:rFonts w:cstheme="minorHAnsi"/>
        </w:rPr>
      </w:pPr>
      <w:r w:rsidRPr="003172BB">
        <w:rPr>
          <w:rFonts w:cstheme="minorHAnsi"/>
        </w:rPr>
        <w:t xml:space="preserve">The Food and Nutrition Program does not cost any GU money to operate the program for food and supply expenses.  During the year revenue from the Renegade Room Restaurant and catering events covers all expenses.  The Food and Nutrition Program’s Renegade Room is open to the public 3 days a week per semester and has 4 non-revenue labs per semester. </w:t>
      </w:r>
    </w:p>
    <w:p w:rsidR="00794E94" w:rsidRDefault="00794E94" w:rsidP="00794E94">
      <w:pPr>
        <w:pStyle w:val="ListParagraph"/>
        <w:spacing w:after="0"/>
        <w:rPr>
          <w:rFonts w:cstheme="minorHAnsi"/>
        </w:rPr>
      </w:pPr>
      <w:r>
        <w:rPr>
          <w:rFonts w:cstheme="minorHAnsi"/>
        </w:rPr>
        <w:t>Income $80,153.24 after taxes</w:t>
      </w:r>
    </w:p>
    <w:p w:rsidR="00794E94" w:rsidRDefault="00794E94" w:rsidP="00794E94">
      <w:pPr>
        <w:pStyle w:val="ListParagraph"/>
        <w:spacing w:after="0"/>
        <w:rPr>
          <w:rFonts w:cstheme="minorHAnsi"/>
        </w:rPr>
      </w:pPr>
      <w:r>
        <w:rPr>
          <w:rFonts w:cstheme="minorHAnsi"/>
        </w:rPr>
        <w:t>Expenses $79,990.86</w:t>
      </w:r>
    </w:p>
    <w:p w:rsidR="006340FF" w:rsidRPr="00794E94" w:rsidRDefault="003172BB" w:rsidP="003172BB">
      <w:pPr>
        <w:pStyle w:val="ListParagraph"/>
        <w:spacing w:after="0"/>
        <w:rPr>
          <w:rFonts w:cstheme="minorHAnsi"/>
        </w:rPr>
      </w:pPr>
      <w:r>
        <w:rPr>
          <w:rFonts w:cstheme="minorHAnsi"/>
        </w:rPr>
        <w:t>Profit $162.43</w:t>
      </w:r>
    </w:p>
    <w:p w:rsidR="00E153B9" w:rsidRDefault="00E153B9"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10"/>
        <w:gridCol w:w="3129"/>
        <w:gridCol w:w="2040"/>
        <w:gridCol w:w="2681"/>
      </w:tblGrid>
      <w:tr w:rsid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09BA" w:rsidRDefault="005209BA">
            <w:pPr>
              <w:rPr>
                <w:rFonts w:eastAsiaTheme="minorHAnsi"/>
                <w:color w:val="000000"/>
                <w:sz w:val="24"/>
                <w:szCs w:val="24"/>
              </w:rPr>
            </w:pPr>
            <w:r>
              <w:rPr>
                <w:rFonts w:eastAsiaTheme="minorHAnsi"/>
                <w:color w:val="000000"/>
                <w:sz w:val="24"/>
                <w:szCs w:val="24"/>
              </w:rPr>
              <w:lastRenderedPageBreak/>
              <w:t>1.</w:t>
            </w:r>
            <w:r w:rsidR="00572E41">
              <w:rPr>
                <w:rFonts w:eastAsiaTheme="minorHAnsi"/>
                <w:color w:val="000000"/>
                <w:sz w:val="24"/>
                <w:szCs w:val="24"/>
              </w:rPr>
              <w:t xml:space="preserve"> Replace retiring faculty member at the end of 2013-2014</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C54233" w:rsidRDefault="0041241B" w:rsidP="007A3CDB">
            <w:pPr>
              <w:pStyle w:val="NoSpacing"/>
              <w:spacing w:line="360" w:lineRule="auto"/>
            </w:pPr>
            <w:r>
              <w:fldChar w:fldCharType="begin">
                <w:ffData>
                  <w:name w:val="Check1"/>
                  <w:enabled/>
                  <w:calcOnExit w:val="0"/>
                  <w:checkBox>
                    <w:sizeAuto/>
                    <w:default w:val="1"/>
                  </w:checkBox>
                </w:ffData>
              </w:fldChar>
            </w:r>
            <w:bookmarkStart w:id="2" w:name="Check1"/>
            <w:r w:rsidR="00C54233">
              <w:instrText xml:space="preserve"> FORMCHECKBOX </w:instrText>
            </w:r>
            <w:r w:rsidR="0052399C">
              <w:fldChar w:fldCharType="separate"/>
            </w:r>
            <w:r>
              <w:fldChar w:fldCharType="end"/>
            </w:r>
            <w:bookmarkEnd w:id="2"/>
            <w:r w:rsidR="005209BA">
              <w:t xml:space="preserve"> 1: Student </w:t>
            </w:r>
            <w:r w:rsidR="00D370BE">
              <w:t xml:space="preserve">Success </w:t>
            </w:r>
          </w:p>
          <w:p w:rsidR="005209BA" w:rsidRDefault="0041241B" w:rsidP="007A3CDB">
            <w:pPr>
              <w:pStyle w:val="NoSpacing"/>
              <w:spacing w:line="360" w:lineRule="auto"/>
            </w:pPr>
            <w:r>
              <w:fldChar w:fldCharType="begin">
                <w:ffData>
                  <w:name w:val="Check2"/>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2: Communication              </w:t>
            </w:r>
          </w:p>
          <w:p w:rsidR="005209BA" w:rsidRDefault="0041241B"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3: Facilities &amp; Infrastructure                             </w:t>
            </w:r>
            <w:r>
              <w:fldChar w:fldCharType="begin">
                <w:ffData>
                  <w:name w:val="Check4"/>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4: Oversight &amp; Accountability           </w:t>
            </w:r>
          </w:p>
          <w:p w:rsidR="005209BA" w:rsidRDefault="0041241B"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5: Integration                      </w:t>
            </w:r>
          </w:p>
          <w:p w:rsidR="005209BA" w:rsidRDefault="0041241B"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41241B" w:rsidP="007A3CDB">
            <w:pPr>
              <w:pStyle w:val="NoSpacing"/>
              <w:spacing w:line="360" w:lineRule="auto"/>
            </w:pPr>
            <w:r>
              <w:fldChar w:fldCharType="begin">
                <w:ffData>
                  <w:name w:val="Check6"/>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Completed:</w:t>
            </w:r>
          </w:p>
          <w:p w:rsidR="005209BA" w:rsidRDefault="005209BA" w:rsidP="007A3CDB">
            <w:pPr>
              <w:pStyle w:val="NoSpacing"/>
              <w:spacing w:line="360" w:lineRule="auto"/>
            </w:pPr>
            <w:r>
              <w:t>_____</w:t>
            </w:r>
            <w:r w:rsidR="00572E41">
              <w:t>9/13/14</w:t>
            </w:r>
            <w:r>
              <w:t xml:space="preserve">_____ (Date)  </w:t>
            </w:r>
          </w:p>
          <w:p w:rsidR="005209BA" w:rsidRDefault="0041241B" w:rsidP="007A3CDB">
            <w:pPr>
              <w:pStyle w:val="NoSpacing"/>
              <w:spacing w:line="360" w:lineRule="auto"/>
            </w:pPr>
            <w:r>
              <w:fldChar w:fldCharType="begin">
                <w:ffData>
                  <w:name w:val="Check7"/>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Revised:   _______</w:t>
            </w:r>
            <w:r w:rsidR="007A3CDB">
              <w:t>___</w:t>
            </w:r>
            <w:r w:rsidR="005209BA">
              <w:t xml:space="preserve"> (Date)</w:t>
            </w:r>
          </w:p>
          <w:p w:rsidR="005209BA" w:rsidRDefault="0041241B"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sidR="005209BA">
              <w:rPr>
                <w:b/>
                <w:u w:val="single"/>
              </w:rPr>
              <w:instrText xml:space="preserve"> FORMCHECKBOX </w:instrText>
            </w:r>
            <w:r w:rsidR="0052399C">
              <w:rPr>
                <w:b/>
                <w:u w:val="single"/>
              </w:rPr>
            </w:r>
            <w:r w:rsidR="0052399C">
              <w:rPr>
                <w:b/>
                <w:u w:val="single"/>
              </w:rPr>
              <w:fldChar w:fldCharType="separate"/>
            </w:r>
            <w:r>
              <w:rPr>
                <w:b/>
                <w:u w:val="single"/>
              </w:rPr>
              <w:fldChar w:fldCharType="end"/>
            </w:r>
            <w:r w:rsidR="005209BA">
              <w:rPr>
                <w:b/>
                <w:u w:val="single"/>
              </w:rPr>
              <w:t xml:space="preserve"> </w:t>
            </w:r>
            <w:r w:rsidR="007A3CDB">
              <w:t>Ongoing: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pPr>
              <w:rPr>
                <w:rFonts w:eastAsiaTheme="minorHAnsi"/>
                <w:color w:val="000000"/>
                <w:sz w:val="24"/>
                <w:szCs w:val="24"/>
              </w:rPr>
            </w:pPr>
          </w:p>
        </w:tc>
      </w:tr>
    </w:tbl>
    <w:p w:rsidR="00F86C2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pPr>
              <w:spacing w:after="200" w:line="360" w:lineRule="auto"/>
              <w:jc w:val="center"/>
              <w:rPr>
                <w:b/>
              </w:rPr>
            </w:pPr>
            <w:r>
              <w:rPr>
                <w:b/>
              </w:rPr>
              <w:t>Anticipated Results</w:t>
            </w:r>
          </w:p>
        </w:tc>
      </w:tr>
      <w:tr w:rsidR="005209BA">
        <w:tc>
          <w:tcPr>
            <w:tcW w:w="2430" w:type="dxa"/>
            <w:tcBorders>
              <w:top w:val="single" w:sz="4" w:space="0" w:color="auto"/>
              <w:left w:val="single" w:sz="4" w:space="0" w:color="auto"/>
              <w:bottom w:val="single" w:sz="4" w:space="0" w:color="auto"/>
              <w:right w:val="single" w:sz="4" w:space="0" w:color="auto"/>
            </w:tcBorders>
          </w:tcPr>
          <w:p w:rsidR="005209BA" w:rsidRDefault="00572E41">
            <w:pPr>
              <w:spacing w:after="200" w:line="360" w:lineRule="auto"/>
              <w:rPr>
                <w:b/>
              </w:rPr>
            </w:pPr>
            <w:r>
              <w:rPr>
                <w:b/>
              </w:rPr>
              <w:t>Rewrite the curriculum to include pre-requisites that will ensure better skills development for the student</w:t>
            </w:r>
          </w:p>
        </w:tc>
        <w:tc>
          <w:tcPr>
            <w:tcW w:w="3150" w:type="dxa"/>
            <w:tcBorders>
              <w:top w:val="single" w:sz="4" w:space="0" w:color="auto"/>
              <w:left w:val="single" w:sz="4" w:space="0" w:color="auto"/>
              <w:bottom w:val="single" w:sz="4" w:space="0" w:color="auto"/>
              <w:right w:val="single" w:sz="4" w:space="0" w:color="auto"/>
            </w:tcBorders>
          </w:tcPr>
          <w:p w:rsidR="00C54233" w:rsidRDefault="0041241B" w:rsidP="007A3CDB">
            <w:pPr>
              <w:pStyle w:val="NoSpacing"/>
              <w:spacing w:line="360" w:lineRule="auto"/>
            </w:pPr>
            <w:r>
              <w:fldChar w:fldCharType="begin">
                <w:ffData>
                  <w:name w:val=""/>
                  <w:enabled/>
                  <w:calcOnExit w:val="0"/>
                  <w:checkBox>
                    <w:sizeAuto/>
                    <w:default w:val="1"/>
                  </w:checkBox>
                </w:ffData>
              </w:fldChar>
            </w:r>
            <w:r w:rsidR="00C54233">
              <w:instrText xml:space="preserve"> FORMCHECKBOX </w:instrText>
            </w:r>
            <w:r w:rsidR="0052399C">
              <w:fldChar w:fldCharType="separate"/>
            </w:r>
            <w:r>
              <w:fldChar w:fldCharType="end"/>
            </w:r>
            <w:r w:rsidR="005209BA">
              <w:t xml:space="preserve"> 1: Student </w:t>
            </w:r>
            <w:r w:rsidR="00D370BE">
              <w:t>Success</w:t>
            </w:r>
          </w:p>
          <w:p w:rsidR="005209BA" w:rsidRDefault="0041241B" w:rsidP="007A3CDB">
            <w:pPr>
              <w:pStyle w:val="NoSpacing"/>
              <w:spacing w:line="360" w:lineRule="auto"/>
            </w:pPr>
            <w:r>
              <w:fldChar w:fldCharType="begin">
                <w:ffData>
                  <w:name w:val="Check2"/>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2: Communication             </w:t>
            </w:r>
          </w:p>
          <w:p w:rsidR="005209BA" w:rsidRDefault="0041241B"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3: Facilities &amp; Infrastructure                             </w:t>
            </w:r>
            <w:r>
              <w:fldChar w:fldCharType="begin">
                <w:ffData>
                  <w:name w:val="Check4"/>
                  <w:enabled/>
                  <w:calcOnExit w:val="0"/>
                  <w:checkBox>
                    <w:sizeAuto/>
                    <w:default w:val="1"/>
                  </w:checkBox>
                </w:ffData>
              </w:fldChar>
            </w:r>
            <w:bookmarkStart w:id="3" w:name="Check4"/>
            <w:r w:rsidR="00C54233">
              <w:instrText xml:space="preserve"> FORMCHECKBOX </w:instrText>
            </w:r>
            <w:r w:rsidR="0052399C">
              <w:fldChar w:fldCharType="separate"/>
            </w:r>
            <w:r>
              <w:fldChar w:fldCharType="end"/>
            </w:r>
            <w:bookmarkEnd w:id="3"/>
            <w:r w:rsidR="005209BA">
              <w:t xml:space="preserve"> 4: Oversight &amp; Accountability          </w:t>
            </w:r>
          </w:p>
          <w:p w:rsidR="005209BA" w:rsidRDefault="0041241B" w:rsidP="007A3CDB">
            <w:pPr>
              <w:pStyle w:val="NoSpacing"/>
              <w:spacing w:line="360" w:lineRule="auto"/>
            </w:pPr>
            <w:r>
              <w:fldChar w:fldCharType="begin">
                <w:ffData>
                  <w:name w:val="Check5"/>
                  <w:enabled/>
                  <w:calcOnExit w:val="0"/>
                  <w:checkBox>
                    <w:sizeAuto/>
                    <w:default w:val="1"/>
                  </w:checkBox>
                </w:ffData>
              </w:fldChar>
            </w:r>
            <w:bookmarkStart w:id="4" w:name="Check5"/>
            <w:r w:rsidR="00C54233">
              <w:instrText xml:space="preserve"> FORMCHECKBOX </w:instrText>
            </w:r>
            <w:r w:rsidR="0052399C">
              <w:fldChar w:fldCharType="separate"/>
            </w:r>
            <w:r>
              <w:fldChar w:fldCharType="end"/>
            </w:r>
            <w:bookmarkEnd w:id="4"/>
            <w:r w:rsidR="005209BA">
              <w:t xml:space="preserve"> 5: Integration                       </w:t>
            </w:r>
          </w:p>
          <w:p w:rsidR="005209BA" w:rsidRDefault="0041241B" w:rsidP="007A3CDB">
            <w:pPr>
              <w:pStyle w:val="NoSpacing"/>
              <w:spacing w:line="360" w:lineRule="auto"/>
              <w:rPr>
                <w:b/>
              </w:rPr>
            </w:pPr>
            <w:r>
              <w:fldChar w:fldCharType="begin">
                <w:ffData>
                  <w:name w:val="Check5"/>
                  <w:enabled/>
                  <w:calcOnExit w:val="0"/>
                  <w:checkBox>
                    <w:sizeAuto/>
                    <w:default w:val="0"/>
                  </w:checkBox>
                </w:ffData>
              </w:fldChar>
            </w:r>
            <w:r w:rsidR="005209BA">
              <w:instrText xml:space="preserve"> FORMCHECKBOX </w:instrText>
            </w:r>
            <w:r w:rsidR="0052399C">
              <w:fldChar w:fldCharType="separate"/>
            </w:r>
            <w:r>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572E41">
            <w:pPr>
              <w:spacing w:after="200" w:line="360" w:lineRule="auto"/>
              <w:rPr>
                <w:b/>
              </w:rPr>
            </w:pPr>
            <w:r>
              <w:rPr>
                <w:b/>
              </w:rPr>
              <w:t>Add the pre-requisites will</w:t>
            </w:r>
            <w:r w:rsidR="00A45E2B">
              <w:rPr>
                <w:b/>
              </w:rPr>
              <w:t xml:space="preserve"> </w:t>
            </w:r>
            <w:r>
              <w:rPr>
                <w:b/>
              </w:rPr>
              <w:t xml:space="preserve">direct students to take classes that </w:t>
            </w:r>
            <w:r w:rsidR="00A45E2B">
              <w:rPr>
                <w:b/>
              </w:rPr>
              <w:t>that build skills and techniques in a logical format which will increase student success</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6B6601" w:rsidRDefault="00075DAB" w:rsidP="002D7005">
      <w:pPr>
        <w:pStyle w:val="ListParagraph"/>
        <w:numPr>
          <w:ilvl w:val="1"/>
          <w:numId w:val="3"/>
        </w:numPr>
        <w:spacing w:after="0" w:line="360" w:lineRule="auto"/>
        <w:ind w:left="1080"/>
        <w:rPr>
          <w:rStyle w:val="Hyperlink"/>
          <w:rFonts w:cstheme="minorHAnsi"/>
          <w:color w:val="auto"/>
          <w:u w:val="none"/>
        </w:rPr>
      </w:pPr>
      <w:r>
        <w:t xml:space="preserve">Column E list </w:t>
      </w:r>
      <w:r w:rsidR="005744EB">
        <w:t>corresponding C-ID descriptors i</w:t>
      </w:r>
      <w:r>
        <w:t xml:space="preserve">f available.  </w:t>
      </w:r>
      <w:hyperlink r:id="rId10" w:history="1">
        <w:r w:rsidRPr="001C57A9">
          <w:rPr>
            <w:rStyle w:val="Hyperlink"/>
          </w:rPr>
          <w:t>http://www.c-id.net/</w:t>
        </w:r>
      </w:hyperlink>
    </w:p>
    <w:p w:rsidR="006340FF" w:rsidRDefault="006340FF" w:rsidP="00E96079">
      <w:pPr>
        <w:spacing w:after="0" w:line="360" w:lineRule="auto"/>
        <w:jc w:val="center"/>
        <w:rPr>
          <w:b/>
        </w:rPr>
      </w:pPr>
      <w:r w:rsidRPr="00E96079">
        <w:rPr>
          <w:b/>
        </w:rPr>
        <w:t xml:space="preserve">*Dates listed should reflect a five year cycle allowing for one year of review to maintain ongoing </w:t>
      </w:r>
      <w:r w:rsidR="00E96079">
        <w:rPr>
          <w:b/>
        </w:rPr>
        <w:t>c</w:t>
      </w:r>
      <w:r w:rsidRPr="00E96079">
        <w:rPr>
          <w:b/>
        </w:rPr>
        <w:t>ompliance</w:t>
      </w:r>
      <w:r w:rsidR="00261D30" w:rsidRPr="00E96079">
        <w:rPr>
          <w:b/>
        </w:rPr>
        <w:t xml:space="preserve">. </w:t>
      </w:r>
      <w:r w:rsidRPr="00E96079">
        <w:rPr>
          <w:b/>
        </w:rPr>
        <w:t>*</w:t>
      </w:r>
    </w:p>
    <w:p w:rsidR="005060FD" w:rsidRPr="00E96079" w:rsidRDefault="005060FD" w:rsidP="00E96079">
      <w:pPr>
        <w:spacing w:after="0" w:line="360" w:lineRule="auto"/>
        <w:jc w:val="center"/>
        <w:rPr>
          <w:b/>
        </w:rPr>
      </w:pPr>
    </w:p>
    <w:tbl>
      <w:tblPr>
        <w:tblStyle w:val="TableGrid"/>
        <w:tblW w:w="0" w:type="auto"/>
        <w:tblInd w:w="108" w:type="dxa"/>
        <w:tblLook w:val="04A0" w:firstRow="1" w:lastRow="0" w:firstColumn="1" w:lastColumn="0" w:noHBand="0" w:noVBand="1"/>
      </w:tblPr>
      <w:tblGrid>
        <w:gridCol w:w="3459"/>
        <w:gridCol w:w="1293"/>
        <w:gridCol w:w="1547"/>
        <w:gridCol w:w="1286"/>
        <w:gridCol w:w="1224"/>
        <w:gridCol w:w="1523"/>
      </w:tblGrid>
      <w:tr w:rsidR="009D7845" w:rsidTr="009D7845">
        <w:tc>
          <w:tcPr>
            <w:tcW w:w="3459" w:type="dxa"/>
            <w:shd w:val="clear" w:color="auto" w:fill="BFBFBF" w:themeFill="background1" w:themeFillShade="BF"/>
          </w:tcPr>
          <w:p w:rsidR="009D7845" w:rsidRPr="0000162E" w:rsidRDefault="009D7845" w:rsidP="00075DAB">
            <w:pPr>
              <w:pStyle w:val="ListParagraph"/>
              <w:ind w:left="0"/>
              <w:jc w:val="center"/>
              <w:rPr>
                <w:b/>
              </w:rPr>
            </w:pPr>
            <w:r>
              <w:rPr>
                <w:b/>
              </w:rPr>
              <w:t xml:space="preserve">A. </w:t>
            </w:r>
            <w:r w:rsidRPr="0000162E">
              <w:rPr>
                <w:b/>
              </w:rPr>
              <w:t>Course</w:t>
            </w:r>
          </w:p>
        </w:tc>
        <w:tc>
          <w:tcPr>
            <w:tcW w:w="1293" w:type="dxa"/>
            <w:shd w:val="clear" w:color="auto" w:fill="BFBFBF" w:themeFill="background1" w:themeFillShade="BF"/>
          </w:tcPr>
          <w:p w:rsidR="009D7845" w:rsidRDefault="009D7845" w:rsidP="00075DAB">
            <w:pPr>
              <w:pStyle w:val="ListParagraph"/>
              <w:ind w:left="0"/>
              <w:jc w:val="center"/>
              <w:rPr>
                <w:b/>
              </w:rPr>
            </w:pPr>
            <w:r>
              <w:rPr>
                <w:b/>
              </w:rPr>
              <w:t>Top Codes</w:t>
            </w:r>
          </w:p>
        </w:tc>
        <w:tc>
          <w:tcPr>
            <w:tcW w:w="1547" w:type="dxa"/>
            <w:shd w:val="clear" w:color="auto" w:fill="BFBFBF" w:themeFill="background1" w:themeFillShade="BF"/>
          </w:tcPr>
          <w:p w:rsidR="009D7845" w:rsidRPr="00D660E2" w:rsidRDefault="009D7845"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9D7845" w:rsidRPr="00D660E2" w:rsidRDefault="009D7845" w:rsidP="00075DAB">
            <w:pPr>
              <w:pStyle w:val="ListParagraph"/>
              <w:ind w:left="0"/>
              <w:jc w:val="center"/>
              <w:rPr>
                <w:b/>
              </w:rPr>
            </w:pPr>
            <w:r>
              <w:rPr>
                <w:b/>
              </w:rPr>
              <w:t>C. Compliance Due Date</w:t>
            </w:r>
          </w:p>
        </w:tc>
        <w:tc>
          <w:tcPr>
            <w:tcW w:w="1224" w:type="dxa"/>
            <w:shd w:val="clear" w:color="auto" w:fill="BFBFBF" w:themeFill="background1" w:themeFillShade="BF"/>
          </w:tcPr>
          <w:p w:rsidR="009D7845" w:rsidRDefault="009D7845" w:rsidP="00075DAB">
            <w:pPr>
              <w:pStyle w:val="ListParagraph"/>
              <w:ind w:left="0"/>
              <w:jc w:val="center"/>
              <w:rPr>
                <w:b/>
              </w:rPr>
            </w:pPr>
            <w:r>
              <w:rPr>
                <w:b/>
              </w:rPr>
              <w:t>D. Distance Education Changes</w:t>
            </w:r>
          </w:p>
        </w:tc>
        <w:tc>
          <w:tcPr>
            <w:tcW w:w="1523" w:type="dxa"/>
            <w:shd w:val="clear" w:color="auto" w:fill="BFBFBF" w:themeFill="background1" w:themeFillShade="BF"/>
          </w:tcPr>
          <w:p w:rsidR="009D7845" w:rsidRDefault="009D7845" w:rsidP="00075DAB">
            <w:pPr>
              <w:pStyle w:val="ListParagraph"/>
              <w:ind w:left="0"/>
              <w:jc w:val="center"/>
              <w:rPr>
                <w:b/>
              </w:rPr>
            </w:pPr>
            <w:r>
              <w:rPr>
                <w:b/>
              </w:rPr>
              <w:t>E. C-ID Descriptors Available</w:t>
            </w:r>
          </w:p>
        </w:tc>
      </w:tr>
      <w:tr w:rsidR="009D7845" w:rsidTr="009D7845">
        <w:tc>
          <w:tcPr>
            <w:tcW w:w="3459" w:type="dxa"/>
          </w:tcPr>
          <w:p w:rsidR="009D7845" w:rsidRPr="0000162E" w:rsidRDefault="009D7845" w:rsidP="0052225C">
            <w:pPr>
              <w:pStyle w:val="ListParagraph"/>
              <w:spacing w:line="360" w:lineRule="auto"/>
              <w:ind w:left="0"/>
            </w:pPr>
            <w:r>
              <w:t>FDSV B50 (2-08)</w:t>
            </w:r>
          </w:p>
        </w:tc>
        <w:tc>
          <w:tcPr>
            <w:tcW w:w="1293" w:type="dxa"/>
          </w:tcPr>
          <w:p w:rsidR="009D7845" w:rsidRPr="009D7845" w:rsidRDefault="009D7845" w:rsidP="009D7845">
            <w:pPr>
              <w:pStyle w:val="ListParagraph"/>
              <w:spacing w:line="360" w:lineRule="auto"/>
              <w:ind w:left="0"/>
              <w:rPr>
                <w:sz w:val="16"/>
                <w:szCs w:val="16"/>
              </w:rPr>
            </w:pPr>
            <w:r w:rsidRPr="009D7845">
              <w:rPr>
                <w:sz w:val="16"/>
                <w:szCs w:val="16"/>
              </w:rPr>
              <w:t xml:space="preserve">(CB03) 1306.00 </w:t>
            </w:r>
          </w:p>
        </w:tc>
        <w:tc>
          <w:tcPr>
            <w:tcW w:w="1547" w:type="dxa"/>
          </w:tcPr>
          <w:p w:rsidR="009D7845" w:rsidRPr="0000162E" w:rsidRDefault="009D7845" w:rsidP="0052225C">
            <w:pPr>
              <w:pStyle w:val="ListParagraph"/>
              <w:spacing w:line="360" w:lineRule="auto"/>
              <w:ind w:left="0"/>
            </w:pPr>
            <w:r>
              <w:t>2014</w:t>
            </w:r>
          </w:p>
        </w:tc>
        <w:tc>
          <w:tcPr>
            <w:tcW w:w="1286" w:type="dxa"/>
          </w:tcPr>
          <w:p w:rsidR="009D7845" w:rsidRPr="0000162E" w:rsidRDefault="009D7845" w:rsidP="0052225C">
            <w:pPr>
              <w:pStyle w:val="ListParagraph"/>
              <w:spacing w:line="360" w:lineRule="auto"/>
              <w:ind w:left="0"/>
            </w:pPr>
            <w:r>
              <w:t>2014</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00162E" w:rsidRDefault="009D7845" w:rsidP="0052225C">
            <w:pPr>
              <w:pStyle w:val="ListParagraph"/>
              <w:spacing w:line="360" w:lineRule="auto"/>
              <w:ind w:left="0"/>
            </w:pPr>
            <w:r>
              <w:lastRenderedPageBreak/>
              <w:t>FDSV B51 (3-13)</w:t>
            </w:r>
          </w:p>
        </w:tc>
        <w:tc>
          <w:tcPr>
            <w:tcW w:w="1293" w:type="dxa"/>
          </w:tcPr>
          <w:p w:rsidR="009D7845" w:rsidRPr="009D7845" w:rsidRDefault="009D7845" w:rsidP="009D7845">
            <w:pPr>
              <w:pStyle w:val="ListParagraph"/>
              <w:spacing w:line="360" w:lineRule="auto"/>
              <w:ind w:left="0"/>
              <w:rPr>
                <w:sz w:val="16"/>
                <w:szCs w:val="16"/>
              </w:rPr>
            </w:pPr>
            <w:r>
              <w:rPr>
                <w:sz w:val="16"/>
                <w:szCs w:val="16"/>
              </w:rPr>
              <w:t>(CB03) 1306.30</w:t>
            </w:r>
          </w:p>
        </w:tc>
        <w:tc>
          <w:tcPr>
            <w:tcW w:w="1547" w:type="dxa"/>
          </w:tcPr>
          <w:p w:rsidR="009D7845" w:rsidRPr="0000162E" w:rsidRDefault="009D7845" w:rsidP="009D7845">
            <w:pPr>
              <w:pStyle w:val="ListParagraph"/>
              <w:spacing w:line="360" w:lineRule="auto"/>
              <w:ind w:left="0"/>
            </w:pPr>
            <w:r>
              <w:t>2018</w:t>
            </w:r>
          </w:p>
        </w:tc>
        <w:tc>
          <w:tcPr>
            <w:tcW w:w="1286" w:type="dxa"/>
          </w:tcPr>
          <w:p w:rsidR="009D7845" w:rsidRPr="0000162E" w:rsidRDefault="009D7845" w:rsidP="0052225C">
            <w:pPr>
              <w:pStyle w:val="ListParagraph"/>
              <w:spacing w:line="360" w:lineRule="auto"/>
              <w:ind w:left="0"/>
            </w:pPr>
            <w:r>
              <w:t>2019</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00162E" w:rsidRDefault="009D7845" w:rsidP="0052225C">
            <w:pPr>
              <w:pStyle w:val="ListParagraph"/>
              <w:spacing w:line="360" w:lineRule="auto"/>
              <w:ind w:left="0"/>
            </w:pPr>
            <w:r>
              <w:t>FDSV B52 (11-08)</w:t>
            </w:r>
          </w:p>
        </w:tc>
        <w:tc>
          <w:tcPr>
            <w:tcW w:w="1293" w:type="dxa"/>
          </w:tcPr>
          <w:p w:rsidR="009D7845" w:rsidRPr="009D7845" w:rsidRDefault="009D7845" w:rsidP="0052225C">
            <w:pPr>
              <w:pStyle w:val="ListParagraph"/>
              <w:spacing w:line="360" w:lineRule="auto"/>
              <w:ind w:left="0"/>
              <w:rPr>
                <w:sz w:val="16"/>
                <w:szCs w:val="16"/>
              </w:rPr>
            </w:pPr>
            <w:r w:rsidRPr="009D7845">
              <w:rPr>
                <w:sz w:val="16"/>
                <w:szCs w:val="16"/>
              </w:rPr>
              <w:t>(CB03) 1306.00</w:t>
            </w:r>
          </w:p>
        </w:tc>
        <w:tc>
          <w:tcPr>
            <w:tcW w:w="1547" w:type="dxa"/>
          </w:tcPr>
          <w:p w:rsidR="009D7845" w:rsidRPr="0000162E" w:rsidRDefault="009D7845" w:rsidP="0052225C">
            <w:pPr>
              <w:pStyle w:val="ListParagraph"/>
              <w:spacing w:line="360" w:lineRule="auto"/>
              <w:ind w:left="0"/>
            </w:pPr>
            <w:r>
              <w:t>2014</w:t>
            </w:r>
          </w:p>
        </w:tc>
        <w:tc>
          <w:tcPr>
            <w:tcW w:w="1286" w:type="dxa"/>
          </w:tcPr>
          <w:p w:rsidR="009D7845" w:rsidRPr="0000162E" w:rsidRDefault="009D7845" w:rsidP="0052225C">
            <w:pPr>
              <w:pStyle w:val="ListParagraph"/>
              <w:spacing w:line="360" w:lineRule="auto"/>
              <w:ind w:left="0"/>
            </w:pPr>
            <w:r>
              <w:t>2014</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FDSV B55a (12-07)</w:t>
            </w:r>
          </w:p>
        </w:tc>
        <w:tc>
          <w:tcPr>
            <w:tcW w:w="1293" w:type="dxa"/>
          </w:tcPr>
          <w:p w:rsidR="009D7845" w:rsidRPr="002770CD" w:rsidRDefault="009D7845" w:rsidP="0052225C">
            <w:pPr>
              <w:pStyle w:val="ListParagraph"/>
              <w:spacing w:line="360" w:lineRule="auto"/>
              <w:ind w:left="0"/>
              <w:rPr>
                <w:sz w:val="16"/>
                <w:szCs w:val="16"/>
              </w:rPr>
            </w:pPr>
            <w:r w:rsidRPr="002770CD">
              <w:rPr>
                <w:sz w:val="16"/>
                <w:szCs w:val="16"/>
              </w:rPr>
              <w:t>(CB03) 1306.30</w:t>
            </w:r>
          </w:p>
        </w:tc>
        <w:tc>
          <w:tcPr>
            <w:tcW w:w="1547" w:type="dxa"/>
          </w:tcPr>
          <w:p w:rsidR="009D7845" w:rsidRPr="0000162E" w:rsidRDefault="009D7845" w:rsidP="0052225C">
            <w:pPr>
              <w:pStyle w:val="ListParagraph"/>
              <w:spacing w:line="360" w:lineRule="auto"/>
              <w:ind w:left="0"/>
            </w:pPr>
            <w:r>
              <w:t xml:space="preserve">2014 </w:t>
            </w:r>
          </w:p>
        </w:tc>
        <w:tc>
          <w:tcPr>
            <w:tcW w:w="1286" w:type="dxa"/>
          </w:tcPr>
          <w:p w:rsidR="009D7845" w:rsidRPr="0000162E" w:rsidRDefault="009D7845" w:rsidP="0052225C">
            <w:pPr>
              <w:pStyle w:val="ListParagraph"/>
              <w:spacing w:line="360" w:lineRule="auto"/>
              <w:ind w:left="0"/>
            </w:pPr>
            <w:r>
              <w:t>2013</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FDSV B55b (11-08)</w:t>
            </w:r>
          </w:p>
        </w:tc>
        <w:tc>
          <w:tcPr>
            <w:tcW w:w="1293" w:type="dxa"/>
          </w:tcPr>
          <w:p w:rsidR="009D7845" w:rsidRPr="002770CD" w:rsidRDefault="009D7845" w:rsidP="0052225C">
            <w:pPr>
              <w:pStyle w:val="ListParagraph"/>
              <w:spacing w:line="360" w:lineRule="auto"/>
              <w:ind w:left="0"/>
            </w:pPr>
            <w:r w:rsidRPr="002770CD">
              <w:rPr>
                <w:sz w:val="16"/>
                <w:szCs w:val="16"/>
              </w:rPr>
              <w:t>(CB03) 1306.30</w:t>
            </w:r>
          </w:p>
        </w:tc>
        <w:tc>
          <w:tcPr>
            <w:tcW w:w="1547" w:type="dxa"/>
          </w:tcPr>
          <w:p w:rsidR="009D7845" w:rsidRPr="0000162E" w:rsidRDefault="009D7845" w:rsidP="0052225C">
            <w:pPr>
              <w:pStyle w:val="ListParagraph"/>
              <w:spacing w:line="360" w:lineRule="auto"/>
              <w:ind w:left="0"/>
            </w:pPr>
            <w:r>
              <w:t>2014</w:t>
            </w:r>
          </w:p>
        </w:tc>
        <w:tc>
          <w:tcPr>
            <w:tcW w:w="1286" w:type="dxa"/>
          </w:tcPr>
          <w:p w:rsidR="009D7845" w:rsidRPr="0000162E" w:rsidRDefault="009D7845" w:rsidP="0052225C">
            <w:pPr>
              <w:pStyle w:val="ListParagraph"/>
              <w:spacing w:line="360" w:lineRule="auto"/>
              <w:ind w:left="0"/>
            </w:pPr>
            <w:r>
              <w:t>2014</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FDSV B55c (11-08)</w:t>
            </w:r>
          </w:p>
        </w:tc>
        <w:tc>
          <w:tcPr>
            <w:tcW w:w="1293" w:type="dxa"/>
          </w:tcPr>
          <w:p w:rsidR="009D7845" w:rsidRPr="002770CD" w:rsidRDefault="009D7845" w:rsidP="0052225C">
            <w:pPr>
              <w:pStyle w:val="ListParagraph"/>
              <w:spacing w:line="360" w:lineRule="auto"/>
              <w:ind w:left="0"/>
            </w:pPr>
            <w:r w:rsidRPr="002770CD">
              <w:rPr>
                <w:sz w:val="16"/>
                <w:szCs w:val="16"/>
              </w:rPr>
              <w:t>(CB03) 1306.30</w:t>
            </w:r>
          </w:p>
        </w:tc>
        <w:tc>
          <w:tcPr>
            <w:tcW w:w="1547" w:type="dxa"/>
          </w:tcPr>
          <w:p w:rsidR="009D7845" w:rsidRPr="0000162E" w:rsidRDefault="009D7845" w:rsidP="0052225C">
            <w:pPr>
              <w:pStyle w:val="ListParagraph"/>
              <w:spacing w:line="360" w:lineRule="auto"/>
              <w:ind w:left="0"/>
            </w:pPr>
            <w:r>
              <w:t>2014</w:t>
            </w:r>
          </w:p>
        </w:tc>
        <w:tc>
          <w:tcPr>
            <w:tcW w:w="1286" w:type="dxa"/>
          </w:tcPr>
          <w:p w:rsidR="009D7845" w:rsidRPr="0000162E" w:rsidRDefault="009D7845" w:rsidP="0052225C">
            <w:pPr>
              <w:pStyle w:val="ListParagraph"/>
              <w:spacing w:line="360" w:lineRule="auto"/>
              <w:ind w:left="0"/>
            </w:pPr>
            <w:r>
              <w:t>2014</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FDSV B55d</w:t>
            </w:r>
            <w:r w:rsidR="000F6AAC" w:rsidRPr="002770CD">
              <w:t xml:space="preserve"> (11-08)</w:t>
            </w:r>
          </w:p>
        </w:tc>
        <w:tc>
          <w:tcPr>
            <w:tcW w:w="1293" w:type="dxa"/>
          </w:tcPr>
          <w:p w:rsidR="009D7845" w:rsidRPr="002770CD" w:rsidRDefault="009D7845" w:rsidP="0052225C">
            <w:pPr>
              <w:pStyle w:val="ListParagraph"/>
              <w:spacing w:line="360" w:lineRule="auto"/>
              <w:ind w:left="0"/>
            </w:pPr>
            <w:r w:rsidRPr="002770CD">
              <w:rPr>
                <w:sz w:val="16"/>
                <w:szCs w:val="16"/>
              </w:rPr>
              <w:t>(CB03) 1306.30</w:t>
            </w:r>
          </w:p>
        </w:tc>
        <w:tc>
          <w:tcPr>
            <w:tcW w:w="1547" w:type="dxa"/>
          </w:tcPr>
          <w:p w:rsidR="009D7845" w:rsidRPr="0000162E" w:rsidRDefault="009D7845" w:rsidP="0052225C">
            <w:pPr>
              <w:pStyle w:val="ListParagraph"/>
              <w:spacing w:line="360" w:lineRule="auto"/>
              <w:ind w:left="0"/>
            </w:pPr>
            <w:r>
              <w:t>2014</w:t>
            </w:r>
          </w:p>
        </w:tc>
        <w:tc>
          <w:tcPr>
            <w:tcW w:w="1286" w:type="dxa"/>
          </w:tcPr>
          <w:p w:rsidR="009D7845" w:rsidRPr="0000162E" w:rsidRDefault="000F6AAC" w:rsidP="0052225C">
            <w:pPr>
              <w:pStyle w:val="ListParagraph"/>
              <w:spacing w:line="360" w:lineRule="auto"/>
              <w:ind w:left="0"/>
            </w:pPr>
            <w:r>
              <w:t>2014</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FDSV B55e</w:t>
            </w:r>
            <w:r w:rsidR="000F6AAC" w:rsidRPr="002770CD">
              <w:t xml:space="preserve"> (11-08)</w:t>
            </w:r>
          </w:p>
        </w:tc>
        <w:tc>
          <w:tcPr>
            <w:tcW w:w="1293" w:type="dxa"/>
          </w:tcPr>
          <w:p w:rsidR="009D7845" w:rsidRPr="002770CD" w:rsidRDefault="000F6AAC" w:rsidP="0052225C">
            <w:pPr>
              <w:pStyle w:val="ListParagraph"/>
              <w:spacing w:line="360" w:lineRule="auto"/>
              <w:ind w:left="0"/>
            </w:pPr>
            <w:r w:rsidRPr="002770CD">
              <w:rPr>
                <w:sz w:val="16"/>
                <w:szCs w:val="16"/>
              </w:rPr>
              <w:t>(CB03) 1306.30</w:t>
            </w:r>
          </w:p>
        </w:tc>
        <w:tc>
          <w:tcPr>
            <w:tcW w:w="1547" w:type="dxa"/>
          </w:tcPr>
          <w:p w:rsidR="009D7845" w:rsidRPr="0000162E" w:rsidRDefault="009D7845" w:rsidP="000F6AAC">
            <w:pPr>
              <w:pStyle w:val="ListParagraph"/>
              <w:spacing w:line="360" w:lineRule="auto"/>
              <w:ind w:left="0"/>
            </w:pPr>
            <w:r>
              <w:t>201</w:t>
            </w:r>
            <w:r w:rsidR="000F6AAC">
              <w:t>4</w:t>
            </w:r>
          </w:p>
        </w:tc>
        <w:tc>
          <w:tcPr>
            <w:tcW w:w="1286" w:type="dxa"/>
          </w:tcPr>
          <w:p w:rsidR="009D7845" w:rsidRPr="0000162E" w:rsidRDefault="000F6AAC" w:rsidP="0052225C">
            <w:pPr>
              <w:pStyle w:val="ListParagraph"/>
              <w:spacing w:line="360" w:lineRule="auto"/>
              <w:ind w:left="0"/>
            </w:pPr>
            <w:r>
              <w:t>2014</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FDSV B55f</w:t>
            </w:r>
            <w:r w:rsidR="000F6AAC" w:rsidRPr="002770CD">
              <w:t xml:space="preserve"> (3-13)</w:t>
            </w:r>
          </w:p>
        </w:tc>
        <w:tc>
          <w:tcPr>
            <w:tcW w:w="1293" w:type="dxa"/>
          </w:tcPr>
          <w:p w:rsidR="009D7845" w:rsidRPr="002770CD" w:rsidRDefault="000F6AAC" w:rsidP="0052225C">
            <w:pPr>
              <w:pStyle w:val="ListParagraph"/>
              <w:spacing w:line="360" w:lineRule="auto"/>
              <w:ind w:left="0"/>
            </w:pPr>
            <w:r w:rsidRPr="002770CD">
              <w:rPr>
                <w:sz w:val="16"/>
                <w:szCs w:val="16"/>
              </w:rPr>
              <w:t>(CB03) 1306.30</w:t>
            </w:r>
          </w:p>
        </w:tc>
        <w:tc>
          <w:tcPr>
            <w:tcW w:w="1547" w:type="dxa"/>
          </w:tcPr>
          <w:p w:rsidR="009D7845" w:rsidRPr="0000162E" w:rsidRDefault="009D7845" w:rsidP="000F6AAC">
            <w:pPr>
              <w:pStyle w:val="ListParagraph"/>
              <w:spacing w:line="360" w:lineRule="auto"/>
              <w:ind w:left="0"/>
            </w:pPr>
            <w:r>
              <w:t>201</w:t>
            </w:r>
            <w:r w:rsidR="000F6AAC">
              <w:t>8</w:t>
            </w:r>
          </w:p>
        </w:tc>
        <w:tc>
          <w:tcPr>
            <w:tcW w:w="1286" w:type="dxa"/>
          </w:tcPr>
          <w:p w:rsidR="009D7845" w:rsidRPr="0000162E" w:rsidRDefault="000F6AAC" w:rsidP="0052225C">
            <w:pPr>
              <w:pStyle w:val="ListParagraph"/>
              <w:spacing w:line="360" w:lineRule="auto"/>
              <w:ind w:left="0"/>
            </w:pPr>
            <w:r>
              <w:t>2019</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FDSV B55i</w:t>
            </w:r>
            <w:r w:rsidR="002770CD" w:rsidRPr="002770CD">
              <w:t xml:space="preserve"> (11-08)</w:t>
            </w:r>
          </w:p>
        </w:tc>
        <w:tc>
          <w:tcPr>
            <w:tcW w:w="1293" w:type="dxa"/>
          </w:tcPr>
          <w:p w:rsidR="009D7845" w:rsidRPr="002770CD" w:rsidRDefault="002770CD" w:rsidP="0052225C">
            <w:pPr>
              <w:pStyle w:val="ListParagraph"/>
              <w:spacing w:line="360" w:lineRule="auto"/>
              <w:ind w:left="0"/>
            </w:pPr>
            <w:r w:rsidRPr="002770CD">
              <w:rPr>
                <w:sz w:val="16"/>
                <w:szCs w:val="16"/>
              </w:rPr>
              <w:t>(CB03) 1306.30</w:t>
            </w:r>
          </w:p>
        </w:tc>
        <w:tc>
          <w:tcPr>
            <w:tcW w:w="1547" w:type="dxa"/>
          </w:tcPr>
          <w:p w:rsidR="009D7845" w:rsidRPr="0000162E" w:rsidRDefault="009D7845" w:rsidP="0052225C">
            <w:pPr>
              <w:pStyle w:val="ListParagraph"/>
              <w:spacing w:line="360" w:lineRule="auto"/>
              <w:ind w:left="0"/>
            </w:pPr>
            <w:r>
              <w:t>2014</w:t>
            </w:r>
          </w:p>
        </w:tc>
        <w:tc>
          <w:tcPr>
            <w:tcW w:w="1286" w:type="dxa"/>
          </w:tcPr>
          <w:p w:rsidR="009D7845" w:rsidRPr="0000162E" w:rsidRDefault="002770CD" w:rsidP="0052225C">
            <w:pPr>
              <w:pStyle w:val="ListParagraph"/>
              <w:spacing w:line="360" w:lineRule="auto"/>
              <w:ind w:left="0"/>
            </w:pPr>
            <w:r>
              <w:t>2014</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FDSV B59</w:t>
            </w:r>
            <w:r w:rsidR="002770CD" w:rsidRPr="002770CD">
              <w:t xml:space="preserve"> (12-09)</w:t>
            </w:r>
          </w:p>
        </w:tc>
        <w:tc>
          <w:tcPr>
            <w:tcW w:w="1293" w:type="dxa"/>
          </w:tcPr>
          <w:p w:rsidR="009D7845" w:rsidRPr="002770CD" w:rsidRDefault="002770CD" w:rsidP="0052225C">
            <w:pPr>
              <w:pStyle w:val="ListParagraph"/>
              <w:spacing w:line="360" w:lineRule="auto"/>
              <w:ind w:left="0"/>
            </w:pPr>
            <w:r w:rsidRPr="002770CD">
              <w:rPr>
                <w:sz w:val="16"/>
                <w:szCs w:val="16"/>
              </w:rPr>
              <w:t>(CB03) 1306.30</w:t>
            </w:r>
          </w:p>
        </w:tc>
        <w:tc>
          <w:tcPr>
            <w:tcW w:w="1547" w:type="dxa"/>
          </w:tcPr>
          <w:p w:rsidR="009D7845" w:rsidRPr="0000162E" w:rsidRDefault="009D7845" w:rsidP="002770CD">
            <w:pPr>
              <w:pStyle w:val="ListParagraph"/>
              <w:spacing w:line="360" w:lineRule="auto"/>
              <w:ind w:left="0"/>
            </w:pPr>
            <w:r>
              <w:t>201</w:t>
            </w:r>
            <w:r w:rsidR="002770CD">
              <w:t>4</w:t>
            </w:r>
          </w:p>
        </w:tc>
        <w:tc>
          <w:tcPr>
            <w:tcW w:w="1286" w:type="dxa"/>
          </w:tcPr>
          <w:p w:rsidR="009D7845" w:rsidRPr="0000162E" w:rsidRDefault="002770CD" w:rsidP="0052225C">
            <w:pPr>
              <w:pStyle w:val="ListParagraph"/>
              <w:spacing w:line="360" w:lineRule="auto"/>
              <w:ind w:left="0"/>
            </w:pPr>
            <w:r>
              <w:t>2015</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NUTR 10</w:t>
            </w:r>
            <w:r w:rsidR="002770CD" w:rsidRPr="002770CD">
              <w:t xml:space="preserve"> (3-11)</w:t>
            </w:r>
          </w:p>
        </w:tc>
        <w:tc>
          <w:tcPr>
            <w:tcW w:w="1293" w:type="dxa"/>
          </w:tcPr>
          <w:p w:rsidR="009D7845" w:rsidRPr="002770CD" w:rsidRDefault="002770CD" w:rsidP="0052225C">
            <w:pPr>
              <w:pStyle w:val="ListParagraph"/>
              <w:spacing w:line="360" w:lineRule="auto"/>
              <w:ind w:left="0"/>
            </w:pPr>
            <w:r w:rsidRPr="002770CD">
              <w:rPr>
                <w:sz w:val="16"/>
                <w:szCs w:val="16"/>
              </w:rPr>
              <w:t>(CB03) 1306.00</w:t>
            </w:r>
          </w:p>
        </w:tc>
        <w:tc>
          <w:tcPr>
            <w:tcW w:w="1547" w:type="dxa"/>
          </w:tcPr>
          <w:p w:rsidR="009D7845" w:rsidRPr="0000162E" w:rsidRDefault="009D7845" w:rsidP="002770CD">
            <w:pPr>
              <w:pStyle w:val="ListParagraph"/>
              <w:spacing w:line="360" w:lineRule="auto"/>
              <w:ind w:left="0"/>
            </w:pPr>
            <w:r>
              <w:t>201</w:t>
            </w:r>
            <w:r w:rsidR="002770CD">
              <w:t>6</w:t>
            </w:r>
          </w:p>
        </w:tc>
        <w:tc>
          <w:tcPr>
            <w:tcW w:w="1286" w:type="dxa"/>
          </w:tcPr>
          <w:p w:rsidR="009D7845" w:rsidRPr="0000162E" w:rsidRDefault="002770CD" w:rsidP="0052225C">
            <w:pPr>
              <w:pStyle w:val="ListParagraph"/>
              <w:spacing w:line="360" w:lineRule="auto"/>
              <w:ind w:left="0"/>
            </w:pPr>
            <w:r>
              <w:t>2017</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r w:rsidR="009D7845" w:rsidTr="009D7845">
        <w:tc>
          <w:tcPr>
            <w:tcW w:w="3459" w:type="dxa"/>
          </w:tcPr>
          <w:p w:rsidR="009D7845" w:rsidRPr="002770CD" w:rsidRDefault="009D7845" w:rsidP="0052225C">
            <w:pPr>
              <w:pStyle w:val="ListParagraph"/>
              <w:spacing w:line="360" w:lineRule="auto"/>
              <w:ind w:left="0"/>
            </w:pPr>
            <w:r w:rsidRPr="002770CD">
              <w:t>NUTR 50</w:t>
            </w:r>
            <w:r w:rsidR="002770CD" w:rsidRPr="002770CD">
              <w:t xml:space="preserve"> (11-08)</w:t>
            </w:r>
          </w:p>
        </w:tc>
        <w:tc>
          <w:tcPr>
            <w:tcW w:w="1293" w:type="dxa"/>
          </w:tcPr>
          <w:p w:rsidR="009D7845" w:rsidRPr="002770CD" w:rsidRDefault="002770CD" w:rsidP="0052225C">
            <w:pPr>
              <w:pStyle w:val="ListParagraph"/>
              <w:spacing w:line="360" w:lineRule="auto"/>
              <w:ind w:left="0"/>
            </w:pPr>
            <w:r w:rsidRPr="002770CD">
              <w:rPr>
                <w:sz w:val="16"/>
                <w:szCs w:val="16"/>
              </w:rPr>
              <w:t>(CB03) 1306.20</w:t>
            </w:r>
          </w:p>
        </w:tc>
        <w:tc>
          <w:tcPr>
            <w:tcW w:w="1547" w:type="dxa"/>
          </w:tcPr>
          <w:p w:rsidR="009D7845" w:rsidRPr="0000162E" w:rsidRDefault="009D7845" w:rsidP="002770CD">
            <w:pPr>
              <w:pStyle w:val="ListParagraph"/>
              <w:spacing w:line="360" w:lineRule="auto"/>
              <w:ind w:left="0"/>
            </w:pPr>
            <w:r>
              <w:t>201</w:t>
            </w:r>
            <w:r w:rsidR="002770CD">
              <w:t>4</w:t>
            </w:r>
          </w:p>
        </w:tc>
        <w:tc>
          <w:tcPr>
            <w:tcW w:w="1286" w:type="dxa"/>
          </w:tcPr>
          <w:p w:rsidR="009D7845" w:rsidRPr="0000162E" w:rsidRDefault="002770CD" w:rsidP="0052225C">
            <w:pPr>
              <w:pStyle w:val="ListParagraph"/>
              <w:spacing w:line="360" w:lineRule="auto"/>
              <w:ind w:left="0"/>
            </w:pPr>
            <w:r>
              <w:t>2014</w:t>
            </w:r>
          </w:p>
        </w:tc>
        <w:tc>
          <w:tcPr>
            <w:tcW w:w="1224" w:type="dxa"/>
          </w:tcPr>
          <w:p w:rsidR="009D7845" w:rsidRPr="0000162E" w:rsidRDefault="009D7845" w:rsidP="0052225C">
            <w:pPr>
              <w:pStyle w:val="ListParagraph"/>
              <w:spacing w:line="360" w:lineRule="auto"/>
              <w:ind w:left="0"/>
            </w:pPr>
            <w:r>
              <w:t>None</w:t>
            </w:r>
          </w:p>
        </w:tc>
        <w:tc>
          <w:tcPr>
            <w:tcW w:w="1523" w:type="dxa"/>
          </w:tcPr>
          <w:p w:rsidR="009D7845" w:rsidRPr="0000162E" w:rsidRDefault="009D7845" w:rsidP="0052225C">
            <w:pPr>
              <w:pStyle w:val="ListParagraph"/>
              <w:spacing w:line="360" w:lineRule="auto"/>
              <w:ind w:left="0"/>
            </w:pPr>
            <w:r>
              <w:t>No</w:t>
            </w:r>
          </w:p>
        </w:tc>
      </w:tr>
    </w:tbl>
    <w:p w:rsidR="00B2405F" w:rsidRDefault="00B2405F" w:rsidP="002D7005">
      <w:pPr>
        <w:pStyle w:val="ListParagraph"/>
        <w:spacing w:after="0" w:line="360" w:lineRule="auto"/>
        <w:ind w:left="360"/>
      </w:pPr>
    </w:p>
    <w:p w:rsidR="006340FF" w:rsidRPr="00007FF0" w:rsidRDefault="006340FF" w:rsidP="002D7005">
      <w:pPr>
        <w:pStyle w:val="ListParagraph"/>
        <w:numPr>
          <w:ilvl w:val="0"/>
          <w:numId w:val="3"/>
        </w:numPr>
        <w:spacing w:after="0" w:line="360" w:lineRule="auto"/>
        <w:ind w:left="360"/>
      </w:pPr>
      <w:r w:rsidRPr="00007FF0">
        <w:t xml:space="preserve">Review of Program Information:  </w:t>
      </w:r>
    </w:p>
    <w:p w:rsidR="006340FF" w:rsidRPr="00007FF0" w:rsidRDefault="006340FF" w:rsidP="002D7005">
      <w:pPr>
        <w:pStyle w:val="ListParagraph"/>
        <w:spacing w:after="0" w:line="360" w:lineRule="auto"/>
        <w:ind w:left="360"/>
      </w:pPr>
      <w:r w:rsidRPr="00007FF0">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Pr="00007FF0" w:rsidRDefault="007B318B" w:rsidP="007B318B">
      <w:pPr>
        <w:spacing w:after="0" w:line="360" w:lineRule="auto"/>
        <w:ind w:firstLine="360"/>
      </w:pPr>
      <w:r w:rsidRPr="00007FF0">
        <w:t>A program m</w:t>
      </w:r>
      <w:r w:rsidR="005060FD" w:rsidRPr="00007FF0">
        <w:t>odification will be started in C</w:t>
      </w:r>
      <w:r w:rsidRPr="00007FF0">
        <w:t>urric</w:t>
      </w:r>
      <w:r w:rsidR="005060FD" w:rsidRPr="00007FF0">
        <w:t>UNET</w:t>
      </w:r>
      <w:r w:rsidRPr="00007FF0">
        <w:t xml:space="preserve"> to include the pre-requisites needed. </w:t>
      </w:r>
    </w:p>
    <w:p w:rsidR="004145C8" w:rsidRPr="00007FF0" w:rsidRDefault="006340FF" w:rsidP="002D7005">
      <w:pPr>
        <w:spacing w:after="0" w:line="360" w:lineRule="auto"/>
        <w:ind w:firstLine="360"/>
      </w:pPr>
      <w:r w:rsidRPr="00007FF0">
        <w:t xml:space="preserve">Is the program and course listing information in the current catalog accurate? If not, list the requested </w:t>
      </w:r>
    </w:p>
    <w:p w:rsidR="006340FF" w:rsidRDefault="005060FD" w:rsidP="005060FD">
      <w:pPr>
        <w:spacing w:after="0" w:line="360" w:lineRule="auto"/>
        <w:ind w:firstLine="360"/>
      </w:pPr>
      <w:proofErr w:type="gramStart"/>
      <w:r w:rsidRPr="00007FF0">
        <w:t>change</w:t>
      </w:r>
      <w:proofErr w:type="gramEnd"/>
      <w:r w:rsidR="006340FF" w:rsidRPr="00007FF0">
        <w:t xml:space="preserve"> below. Catalog information should reflect what is in CurricUNET.</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5060FD" w:rsidRDefault="006340FF" w:rsidP="002D7005">
      <w:pPr>
        <w:spacing w:after="0" w:line="360" w:lineRule="auto"/>
        <w:ind w:firstLine="720"/>
      </w:pPr>
      <w:r>
        <w:t xml:space="preserve">If applicable, SEP Pathway with CSU Breadth indicated?  </w:t>
      </w:r>
      <w:r w:rsidR="004145C8">
        <w:t xml:space="preserve">                  </w:t>
      </w:r>
      <w:r>
        <w:t xml:space="preserve">Yes </w:t>
      </w:r>
    </w:p>
    <w:p w:rsidR="006340FF" w:rsidRDefault="006340FF" w:rsidP="002D7005">
      <w:pPr>
        <w:spacing w:after="0" w:line="360" w:lineRule="auto"/>
        <w:ind w:firstLine="720"/>
      </w:pPr>
      <w:r>
        <w:t xml:space="preserve">If applicable, SEP Pathway with IGETC indicated?  </w:t>
      </w:r>
      <w:r w:rsidR="004145C8">
        <w:t xml:space="preserve">                              </w:t>
      </w:r>
      <w:r>
        <w:t>No</w:t>
      </w:r>
      <w:r w:rsidR="005060FD">
        <w:t>t yet</w:t>
      </w:r>
    </w:p>
    <w:p w:rsidR="00D370BE" w:rsidRDefault="006340FF" w:rsidP="00D370BE">
      <w:pPr>
        <w:spacing w:after="0" w:line="360" w:lineRule="auto"/>
        <w:ind w:firstLine="720"/>
      </w:pPr>
      <w:r>
        <w:t>If applicable, SEP Pathway with BC General Education indicated?    No</w:t>
      </w:r>
      <w:r w:rsidR="005060FD">
        <w:t>t yet</w:t>
      </w:r>
    </w:p>
    <w:p w:rsidR="00D370BE" w:rsidRDefault="00D370BE" w:rsidP="00D370BE">
      <w:pPr>
        <w:spacing w:after="0" w:line="360" w:lineRule="auto"/>
        <w:rPr>
          <w:rFonts w:cstheme="minorHAnsi"/>
        </w:rPr>
      </w:pPr>
      <w:r>
        <w:t xml:space="preserve">D.   </w:t>
      </w:r>
      <w:r w:rsidRPr="00D370BE">
        <w:rPr>
          <w:rFonts w:cstheme="minorHAnsi"/>
        </w:rPr>
        <w:t xml:space="preserve">If applicable, provide a description of the program’s future adoption of C-ID descriptors and Associate </w:t>
      </w:r>
      <w:r>
        <w:rPr>
          <w:rFonts w:cstheme="minorHAnsi"/>
        </w:rPr>
        <w:t>Degree</w:t>
      </w:r>
    </w:p>
    <w:p w:rsidR="00C54233" w:rsidRDefault="00D370BE" w:rsidP="006340FF">
      <w:pPr>
        <w:spacing w:after="0" w:line="360" w:lineRule="auto"/>
        <w:rPr>
          <w:b/>
          <w:u w:val="single"/>
        </w:rPr>
      </w:pPr>
      <w:proofErr w:type="gramStart"/>
      <w:r w:rsidRPr="00D370BE">
        <w:rPr>
          <w:rFonts w:cstheme="minorHAnsi"/>
        </w:rPr>
        <w:t>For Transfer (ADT) or Model Curricula.</w:t>
      </w:r>
      <w:proofErr w:type="gramEnd"/>
      <w:r w:rsidRPr="00D370BE">
        <w:rPr>
          <w:rFonts w:cstheme="minorHAnsi"/>
        </w:rPr>
        <w:t xml:space="preserve"> The Food and Nutrition Program at present does not have a plan developed for an AS-T degree because at state level the CID requirements have not been decided upon.  The BC Food and Nutrition Program is on the State committee/discussion group to set the CID requirements.</w:t>
      </w:r>
      <w:r w:rsidR="006340FF">
        <w:rPr>
          <w:rFonts w:cstheme="minorHAnsi"/>
        </w:rPr>
        <w:br/>
      </w:r>
    </w:p>
    <w:p w:rsidR="006340FF" w:rsidRDefault="006340FF" w:rsidP="006340FF">
      <w:pPr>
        <w:spacing w:after="0" w:line="360" w:lineRule="auto"/>
      </w:pPr>
      <w:r>
        <w:rPr>
          <w:b/>
          <w:u w:val="single"/>
        </w:rPr>
        <w:t>VII. Conclusions</w:t>
      </w:r>
      <w:r w:rsidRPr="00442712">
        <w:rPr>
          <w:b/>
          <w:u w:val="single"/>
        </w:rPr>
        <w:t xml:space="preserve"> and Findings:</w:t>
      </w:r>
      <w:r>
        <w:t xml:space="preserve"> </w:t>
      </w:r>
    </w:p>
    <w:p w:rsidR="00D370BE" w:rsidRDefault="00D370BE" w:rsidP="00D370BE">
      <w:pPr>
        <w:spacing w:after="0"/>
      </w:pPr>
      <w:r>
        <w:t>With separating out the programs of the Family and Consumer Education Department for the APR it is easier to drill down on the Food and Nutrition Program.  The conclusions and findings of the 2014-2015 APR are as follows:</w:t>
      </w:r>
    </w:p>
    <w:p w:rsidR="00D370BE" w:rsidRDefault="00D370BE" w:rsidP="00D370BE">
      <w:pPr>
        <w:spacing w:after="0"/>
      </w:pPr>
    </w:p>
    <w:p w:rsidR="00D370BE" w:rsidRDefault="00D370BE" w:rsidP="00D370BE">
      <w:pPr>
        <w:pStyle w:val="ListParagraph"/>
        <w:numPr>
          <w:ilvl w:val="0"/>
          <w:numId w:val="23"/>
        </w:numPr>
        <w:spacing w:after="0"/>
      </w:pPr>
      <w:r>
        <w:lastRenderedPageBreak/>
        <w:t>The Program does not cost the district any GU money for the food and supplies.  All revenue from the Renegade Room Restaurant and catering cover all costs, food, supplies, chemicals and small equipment.</w:t>
      </w:r>
    </w:p>
    <w:p w:rsidR="00D370BE" w:rsidRDefault="00D370BE" w:rsidP="00D370BE">
      <w:pPr>
        <w:pStyle w:val="ListParagraph"/>
        <w:numPr>
          <w:ilvl w:val="0"/>
          <w:numId w:val="23"/>
        </w:numPr>
        <w:spacing w:after="0"/>
      </w:pPr>
      <w:r>
        <w:t xml:space="preserve">Both the college and the department should spend time and money in recruiting in the African-American community.  </w:t>
      </w:r>
    </w:p>
    <w:p w:rsidR="00D370BE" w:rsidRDefault="00D370BE" w:rsidP="00D370BE">
      <w:pPr>
        <w:pStyle w:val="ListParagraph"/>
        <w:numPr>
          <w:ilvl w:val="0"/>
          <w:numId w:val="23"/>
        </w:numPr>
        <w:spacing w:after="0"/>
      </w:pPr>
      <w:r>
        <w:t>The Food and Nutrition Program needs to continue the programs to maintain or increase success and retention rates.</w:t>
      </w:r>
    </w:p>
    <w:p w:rsidR="00D370BE" w:rsidRDefault="00D370BE" w:rsidP="00D370BE">
      <w:pPr>
        <w:pStyle w:val="ListParagraph"/>
        <w:numPr>
          <w:ilvl w:val="0"/>
          <w:numId w:val="23"/>
        </w:numPr>
        <w:spacing w:after="0"/>
      </w:pPr>
      <w:r>
        <w:t>The program’s physical plant is at capacity.  To meet the needs of the growing program, the college’s marketing needs and community needs the physical plant needs a major remodel.</w:t>
      </w:r>
    </w:p>
    <w:p w:rsidR="00D370BE" w:rsidRDefault="00D370BE" w:rsidP="00D370BE">
      <w:pPr>
        <w:pStyle w:val="ListParagraph"/>
        <w:numPr>
          <w:ilvl w:val="0"/>
          <w:numId w:val="23"/>
        </w:numPr>
        <w:spacing w:after="0"/>
      </w:pPr>
      <w:r>
        <w:t>A need for a computer lab in the FACE Department is now justified.</w:t>
      </w:r>
    </w:p>
    <w:p w:rsidR="00D370BE" w:rsidRDefault="00D370BE" w:rsidP="000B1D46">
      <w:pPr>
        <w:pStyle w:val="ListParagraph"/>
        <w:numPr>
          <w:ilvl w:val="0"/>
          <w:numId w:val="23"/>
        </w:numPr>
        <w:spacing w:after="0"/>
      </w:pPr>
      <w:r>
        <w:t>Realigning the curriculum to add pre-requisites is necessary for continued student success.</w:t>
      </w:r>
      <w:r w:rsidR="007B318B">
        <w:t xml:space="preserve"> A gap in fundamental skills occurs when students are allowed in lab classes without an introduction course or food safety (labs are</w:t>
      </w:r>
      <w:r w:rsidR="005060FD">
        <w:t xml:space="preserve"> FDSV B55c, FDSV B55d</w:t>
      </w:r>
      <w:r w:rsidR="00261D30">
        <w:t>, and</w:t>
      </w:r>
      <w:r w:rsidR="007B318B">
        <w:t xml:space="preserve"> FDSV B55e).</w:t>
      </w:r>
    </w:p>
    <w:p w:rsidR="000B1D46" w:rsidRPr="007A7523" w:rsidRDefault="000B1D46" w:rsidP="000B1D46">
      <w:pPr>
        <w:pStyle w:val="ListParagraph"/>
        <w:numPr>
          <w:ilvl w:val="0"/>
          <w:numId w:val="23"/>
        </w:numPr>
        <w:spacing w:after="0"/>
      </w:pPr>
      <w:r>
        <w:rPr>
          <w:rFonts w:cstheme="minorHAnsi"/>
        </w:rPr>
        <w:t xml:space="preserve"> In our hand-on learning lab, we need to upgrade our knives to the new micro-bacterial type of knife and fill in the remainder of the silverware so that it all matches and reflects the quality of a good dining experience</w:t>
      </w:r>
      <w:r w:rsidR="00007FF0">
        <w:rPr>
          <w:rFonts w:cstheme="minorHAnsi"/>
        </w:rPr>
        <w:t>.</w:t>
      </w:r>
    </w:p>
    <w:p w:rsidR="00007FF0" w:rsidRDefault="00007FF0" w:rsidP="00B4368E">
      <w:pPr>
        <w:spacing w:after="0" w:line="360" w:lineRule="auto"/>
        <w:rPr>
          <w:b/>
          <w:sz w:val="20"/>
          <w:szCs w:val="20"/>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41241B"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5" w:name="Check11"/>
      <w:r w:rsidR="00C54233">
        <w:rPr>
          <w:rFonts w:cstheme="minorHAnsi"/>
          <w:sz w:val="20"/>
          <w:szCs w:val="20"/>
        </w:rPr>
        <w:instrText xml:space="preserve"> FORMCHECKBOX </w:instrText>
      </w:r>
      <w:r w:rsidR="0052399C">
        <w:rPr>
          <w:rFonts w:cstheme="minorHAnsi"/>
          <w:sz w:val="20"/>
          <w:szCs w:val="20"/>
        </w:rPr>
      </w:r>
      <w:r w:rsidR="0052399C">
        <w:rPr>
          <w:rFonts w:cstheme="minorHAnsi"/>
          <w:sz w:val="20"/>
          <w:szCs w:val="20"/>
        </w:rPr>
        <w:fldChar w:fldCharType="separate"/>
      </w:r>
      <w:r>
        <w:rPr>
          <w:rFonts w:cstheme="minorHAnsi"/>
          <w:sz w:val="20"/>
          <w:szCs w:val="20"/>
        </w:rPr>
        <w:fldChar w:fldCharType="end"/>
      </w:r>
      <w:bookmarkEnd w:id="5"/>
      <w:r w:rsidR="00B4368E" w:rsidRPr="00AC2888">
        <w:rPr>
          <w:rFonts w:cstheme="minorHAnsi"/>
          <w:sz w:val="20"/>
          <w:szCs w:val="20"/>
        </w:rPr>
        <w:t xml:space="preserve"> </w:t>
      </w:r>
      <w:hyperlink r:id="rId11"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52399C">
        <w:rPr>
          <w:rFonts w:cstheme="minorHAnsi"/>
          <w:sz w:val="20"/>
          <w:szCs w:val="20"/>
        </w:rPr>
      </w:r>
      <w:r w:rsidR="0052399C">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2"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52399C">
        <w:rPr>
          <w:rFonts w:cstheme="minorHAnsi"/>
          <w:sz w:val="20"/>
          <w:szCs w:val="20"/>
        </w:rPr>
      </w:r>
      <w:r w:rsidR="0052399C">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rFonts w:cstheme="minorHAnsi"/>
            <w:sz w:val="20"/>
            <w:szCs w:val="20"/>
          </w:rPr>
          <w:t>Budget Change Request Form</w:t>
        </w:r>
      </w:hyperlink>
      <w:r w:rsidR="00B4368E">
        <w:tab/>
      </w:r>
      <w:r w:rsidR="00B4368E">
        <w:tab/>
      </w:r>
    </w:p>
    <w:p w:rsidR="00B4368E" w:rsidRDefault="0041241B" w:rsidP="00B4368E">
      <w:pPr>
        <w:spacing w:after="0" w:line="36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6" w:name="Check17"/>
      <w:r w:rsidR="00C54233">
        <w:rPr>
          <w:rFonts w:cstheme="minorHAnsi"/>
          <w:sz w:val="20"/>
          <w:szCs w:val="20"/>
        </w:rPr>
        <w:instrText xml:space="preserve"> FORMCHECKBOX </w:instrText>
      </w:r>
      <w:r w:rsidR="0052399C">
        <w:rPr>
          <w:rFonts w:cstheme="minorHAnsi"/>
          <w:sz w:val="20"/>
          <w:szCs w:val="20"/>
        </w:rPr>
      </w:r>
      <w:r w:rsidR="0052399C">
        <w:rPr>
          <w:rFonts w:cstheme="minorHAnsi"/>
          <w:sz w:val="20"/>
          <w:szCs w:val="20"/>
        </w:rPr>
        <w:fldChar w:fldCharType="separate"/>
      </w:r>
      <w:r>
        <w:rPr>
          <w:rFonts w:cstheme="minorHAnsi"/>
          <w:sz w:val="20"/>
          <w:szCs w:val="20"/>
        </w:rPr>
        <w:fldChar w:fldCharType="end"/>
      </w:r>
      <w:bookmarkEnd w:id="6"/>
      <w:r w:rsidR="00B4368E">
        <w:rPr>
          <w:rFonts w:cstheme="minorHAnsi"/>
          <w:sz w:val="20"/>
          <w:szCs w:val="20"/>
        </w:rPr>
        <w:t xml:space="preserve"> </w:t>
      </w:r>
      <w:r w:rsidR="00B4368E" w:rsidRPr="00C53F46">
        <w:rPr>
          <w:color w:val="0000FF"/>
          <w:sz w:val="20"/>
          <w:szCs w:val="20"/>
          <w:u w:val="single"/>
        </w:rPr>
        <w:t>Professional Development</w:t>
      </w:r>
      <w:r w:rsidR="00C54233" w:rsidRPr="00C54233">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7" w:name="Check14"/>
      <w:r w:rsidR="00C54233">
        <w:rPr>
          <w:rFonts w:cstheme="minorHAnsi"/>
          <w:sz w:val="20"/>
          <w:szCs w:val="20"/>
        </w:rPr>
        <w:instrText xml:space="preserve"> FORMCHECKBOX </w:instrText>
      </w:r>
      <w:r w:rsidR="0052399C">
        <w:rPr>
          <w:rFonts w:cstheme="minorHAnsi"/>
          <w:sz w:val="20"/>
          <w:szCs w:val="20"/>
        </w:rPr>
      </w:r>
      <w:r w:rsidR="0052399C">
        <w:rPr>
          <w:rFonts w:cstheme="minorHAnsi"/>
          <w:sz w:val="20"/>
          <w:szCs w:val="20"/>
        </w:rPr>
        <w:fldChar w:fldCharType="separate"/>
      </w:r>
      <w:r>
        <w:rPr>
          <w:rFonts w:cstheme="minorHAnsi"/>
          <w:sz w:val="20"/>
          <w:szCs w:val="20"/>
        </w:rPr>
        <w:fldChar w:fldCharType="end"/>
      </w:r>
      <w:bookmarkEnd w:id="7"/>
      <w:r w:rsidR="00B4368E" w:rsidRPr="00AC2888">
        <w:rPr>
          <w:rFonts w:cstheme="minorHAnsi"/>
          <w:sz w:val="20"/>
          <w:szCs w:val="20"/>
        </w:rPr>
        <w:t xml:space="preserve"> </w:t>
      </w:r>
      <w:hyperlink r:id="rId14"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Pr>
          <w:rFonts w:cstheme="minorHAnsi"/>
          <w:sz w:val="20"/>
          <w:szCs w:val="20"/>
        </w:rPr>
        <w:fldChar w:fldCharType="begin">
          <w:ffData>
            <w:name w:val="Check15"/>
            <w:enabled/>
            <w:calcOnExit w:val="0"/>
            <w:checkBox>
              <w:sizeAuto/>
              <w:default w:val="1"/>
            </w:checkBox>
          </w:ffData>
        </w:fldChar>
      </w:r>
      <w:bookmarkStart w:id="8" w:name="Check15"/>
      <w:r w:rsidR="00C54233">
        <w:rPr>
          <w:rFonts w:cstheme="minorHAnsi"/>
          <w:sz w:val="20"/>
          <w:szCs w:val="20"/>
        </w:rPr>
        <w:instrText xml:space="preserve"> FORMCHECKBOX </w:instrText>
      </w:r>
      <w:r w:rsidR="0052399C">
        <w:rPr>
          <w:rFonts w:cstheme="minorHAnsi"/>
          <w:sz w:val="20"/>
          <w:szCs w:val="20"/>
        </w:rPr>
      </w:r>
      <w:r w:rsidR="0052399C">
        <w:rPr>
          <w:rFonts w:cstheme="minorHAnsi"/>
          <w:sz w:val="20"/>
          <w:szCs w:val="20"/>
        </w:rPr>
        <w:fldChar w:fldCharType="separate"/>
      </w:r>
      <w:r>
        <w:rPr>
          <w:rFonts w:cstheme="minorHAnsi"/>
          <w:sz w:val="20"/>
          <w:szCs w:val="20"/>
        </w:rPr>
        <w:fldChar w:fldCharType="end"/>
      </w:r>
      <w:bookmarkEnd w:id="8"/>
      <w:r w:rsidR="00B4368E" w:rsidRPr="00AC2888">
        <w:rPr>
          <w:rFonts w:cstheme="minorHAnsi"/>
          <w:sz w:val="20"/>
          <w:szCs w:val="20"/>
        </w:rPr>
        <w:t xml:space="preserve"> </w:t>
      </w:r>
      <w:hyperlink r:id="rId15"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41241B"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sidR="00C54233">
        <w:rPr>
          <w:rFonts w:cstheme="minorHAnsi"/>
          <w:sz w:val="20"/>
          <w:szCs w:val="20"/>
        </w:rPr>
        <w:instrText xml:space="preserve"> FORMCHECKBOX </w:instrText>
      </w:r>
      <w:r w:rsidR="0052399C">
        <w:rPr>
          <w:rFonts w:cstheme="minorHAnsi"/>
          <w:sz w:val="20"/>
          <w:szCs w:val="20"/>
        </w:rPr>
      </w:r>
      <w:r w:rsidR="0052399C">
        <w:rPr>
          <w:rFonts w:cstheme="minorHAnsi"/>
          <w:sz w:val="20"/>
          <w:szCs w:val="20"/>
        </w:rPr>
        <w:fldChar w:fldCharType="separate"/>
      </w:r>
      <w:r>
        <w:rPr>
          <w:rFonts w:cstheme="minorHAnsi"/>
          <w:sz w:val="20"/>
          <w:szCs w:val="20"/>
        </w:rPr>
        <w:fldChar w:fldCharType="end"/>
      </w:r>
      <w:bookmarkEnd w:id="9"/>
      <w:r w:rsidR="00B4368E" w:rsidRPr="00AC2888">
        <w:rPr>
          <w:rFonts w:cstheme="minorHAnsi"/>
          <w:sz w:val="20"/>
          <w:szCs w:val="20"/>
        </w:rPr>
        <w:t xml:space="preserve"> </w:t>
      </w:r>
      <w:hyperlink r:id="rId16"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52399C">
        <w:rPr>
          <w:rFonts w:cstheme="minorHAnsi"/>
          <w:sz w:val="20"/>
          <w:szCs w:val="20"/>
        </w:rPr>
      </w:r>
      <w:r w:rsidR="0052399C">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261D30" w:rsidP="006340FF">
      <w:pPr>
        <w:spacing w:after="0" w:line="360" w:lineRule="auto"/>
      </w:pPr>
      <w:r>
        <w:t>Stand-alone</w:t>
      </w:r>
      <w:r w:rsidR="006340FF">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6340FF" w:rsidRPr="006B6601" w:rsidRDefault="006340FF" w:rsidP="006B6601">
      <w:pPr>
        <w:spacing w:after="0" w:line="360" w:lineRule="auto"/>
        <w:ind w:firstLine="720"/>
        <w:rPr>
          <w:sz w:val="24"/>
          <w:szCs w:val="24"/>
        </w:rPr>
      </w:pPr>
      <w:r w:rsidRPr="00FD0A12">
        <w:rPr>
          <w:b/>
          <w:sz w:val="24"/>
          <w:szCs w:val="24"/>
        </w:rPr>
        <w:t>Name of Program:</w:t>
      </w:r>
      <w:r w:rsidRPr="00FD0A12">
        <w:rPr>
          <w:sz w:val="24"/>
          <w:szCs w:val="24"/>
        </w:rPr>
        <w:tab/>
      </w:r>
      <w:r w:rsidR="007B318B" w:rsidRPr="006B6601">
        <w:rPr>
          <w:b/>
          <w:sz w:val="28"/>
          <w:szCs w:val="24"/>
          <w:u w:val="single"/>
        </w:rPr>
        <w:t>Food and Nutrition</w:t>
      </w: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261D30" w:rsidP="003D27D1">
            <w:pPr>
              <w:ind w:right="-198"/>
              <w:jc w:val="center"/>
              <w:rPr>
                <w:b/>
              </w:rPr>
            </w:pPr>
            <w:r w:rsidRPr="007A3CDB">
              <w:rPr>
                <w:b/>
              </w:rPr>
              <w:t>Stand-alone</w:t>
            </w:r>
            <w:r w:rsidR="00B949F8" w:rsidRPr="007A3CDB">
              <w:rPr>
                <w:b/>
              </w:rPr>
              <w:t xml:space="preserve"> program?</w:t>
            </w:r>
          </w:p>
        </w:tc>
      </w:tr>
      <w:tr w:rsidR="00B949F8">
        <w:tc>
          <w:tcPr>
            <w:tcW w:w="5058" w:type="dxa"/>
          </w:tcPr>
          <w:p w:rsidR="00B949F8" w:rsidRDefault="007B318B" w:rsidP="00B949F8">
            <w:pPr>
              <w:spacing w:line="360" w:lineRule="auto"/>
            </w:pPr>
            <w:r>
              <w:t>Culinary Arts</w:t>
            </w:r>
          </w:p>
        </w:tc>
        <w:tc>
          <w:tcPr>
            <w:tcW w:w="540" w:type="dxa"/>
          </w:tcPr>
          <w:p w:rsidR="00B949F8" w:rsidRDefault="00B949F8" w:rsidP="00B949F8">
            <w:pPr>
              <w:spacing w:line="360" w:lineRule="auto"/>
            </w:pPr>
          </w:p>
        </w:tc>
        <w:tc>
          <w:tcPr>
            <w:tcW w:w="540" w:type="dxa"/>
          </w:tcPr>
          <w:p w:rsidR="00B949F8" w:rsidRDefault="00947E23" w:rsidP="00B949F8">
            <w:pPr>
              <w:spacing w:line="360" w:lineRule="auto"/>
            </w:pPr>
            <w:r>
              <w:t>X</w:t>
            </w:r>
          </w:p>
        </w:tc>
        <w:tc>
          <w:tcPr>
            <w:tcW w:w="1800" w:type="dxa"/>
          </w:tcPr>
          <w:p w:rsidR="00B949F8" w:rsidRDefault="007B318B" w:rsidP="00B949F8">
            <w:pPr>
              <w:spacing w:line="360" w:lineRule="auto"/>
            </w:pPr>
            <w:r>
              <w:t>Yes</w:t>
            </w:r>
          </w:p>
        </w:tc>
        <w:tc>
          <w:tcPr>
            <w:tcW w:w="2250" w:type="dxa"/>
          </w:tcPr>
          <w:p w:rsidR="00B949F8" w:rsidRDefault="007B318B" w:rsidP="00B949F8">
            <w:pPr>
              <w:spacing w:line="360" w:lineRule="auto"/>
            </w:pPr>
            <w:r>
              <w:t>No</w:t>
            </w:r>
          </w:p>
        </w:tc>
      </w:tr>
      <w:tr w:rsidR="00B949F8">
        <w:tc>
          <w:tcPr>
            <w:tcW w:w="5058" w:type="dxa"/>
          </w:tcPr>
          <w:p w:rsidR="00B949F8" w:rsidRDefault="007B318B" w:rsidP="00B949F8">
            <w:pPr>
              <w:spacing w:line="360" w:lineRule="auto"/>
            </w:pPr>
            <w:r>
              <w:t>Dietetic Services Supervisor</w:t>
            </w:r>
          </w:p>
        </w:tc>
        <w:tc>
          <w:tcPr>
            <w:tcW w:w="540" w:type="dxa"/>
          </w:tcPr>
          <w:p w:rsidR="00B949F8" w:rsidRDefault="00B949F8" w:rsidP="00B949F8">
            <w:pPr>
              <w:spacing w:line="360" w:lineRule="auto"/>
            </w:pPr>
          </w:p>
        </w:tc>
        <w:tc>
          <w:tcPr>
            <w:tcW w:w="540" w:type="dxa"/>
          </w:tcPr>
          <w:p w:rsidR="00B949F8" w:rsidRDefault="00947E23" w:rsidP="00B949F8">
            <w:pPr>
              <w:spacing w:line="360" w:lineRule="auto"/>
            </w:pPr>
            <w:r>
              <w:t>X</w:t>
            </w:r>
          </w:p>
        </w:tc>
        <w:tc>
          <w:tcPr>
            <w:tcW w:w="1800" w:type="dxa"/>
          </w:tcPr>
          <w:p w:rsidR="00B949F8" w:rsidRDefault="003339C4" w:rsidP="003339C4">
            <w:pPr>
              <w:spacing w:line="360" w:lineRule="auto"/>
            </w:pPr>
            <w:r>
              <w:t>Yes</w:t>
            </w:r>
          </w:p>
        </w:tc>
        <w:tc>
          <w:tcPr>
            <w:tcW w:w="2250" w:type="dxa"/>
          </w:tcPr>
          <w:p w:rsidR="00B949F8" w:rsidRDefault="007B318B" w:rsidP="00B949F8">
            <w:pPr>
              <w:spacing w:line="360" w:lineRule="auto"/>
            </w:pPr>
            <w:r>
              <w:t>No</w:t>
            </w:r>
          </w:p>
        </w:tc>
      </w:tr>
      <w:tr w:rsidR="00B949F8">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B6601" w:rsidRDefault="006B6601" w:rsidP="006340FF">
      <w:pPr>
        <w:spacing w:after="0" w:line="360" w:lineRule="auto"/>
      </w:pPr>
    </w:p>
    <w:p w:rsidR="006B6601" w:rsidRDefault="006B6601">
      <w:r>
        <w:br w:type="page"/>
      </w:r>
    </w:p>
    <w:p w:rsidR="006340FF" w:rsidRDefault="006340FF" w:rsidP="006340FF">
      <w:pPr>
        <w:spacing w:after="0" w:line="360" w:lineRule="auto"/>
      </w:pPr>
      <w:r>
        <w:lastRenderedPageBreak/>
        <w:t>Please discuss the following questions regarding all area Certificates of Achievement (CA):</w:t>
      </w:r>
    </w:p>
    <w:p w:rsidR="006340FF" w:rsidRDefault="0052399C" w:rsidP="006340FF">
      <w:pPr>
        <w:spacing w:after="0" w:line="360" w:lineRule="auto"/>
      </w:pPr>
      <w:r>
        <w:rPr>
          <w:noProof/>
        </w:rPr>
        <w:pict>
          <v:shapetype id="_x0000_t202" coordsize="21600,21600" o:spt="202" path="m,l,21600r21600,l21600,xe">
            <v:stroke joinstyle="miter"/>
            <v:path gradientshapeok="t" o:connecttype="rect"/>
          </v:shapetype>
          <v:shape id="Text Box 307" o:spid="_x0000_s1026" type="#_x0000_t202" style="position:absolute;margin-left:1.5pt;margin-top:5.2pt;width:550.6pt;height:62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A45E2B" w:rsidRDefault="00A45E2B"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r w:rsidR="00947E23">
                    <w:rPr>
                      <w:rFonts w:cstheme="minorHAnsi"/>
                    </w:rPr>
                    <w:t>None</w:t>
                  </w:r>
                </w:p>
                <w:p w:rsidR="00A45E2B" w:rsidRDefault="00A45E2B"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r w:rsidR="00947E23">
                    <w:rPr>
                      <w:rFonts w:cstheme="minorHAnsi"/>
                    </w:rPr>
                    <w:t>Child Nutrition Management</w:t>
                  </w:r>
                </w:p>
                <w:p w:rsidR="00A45E2B" w:rsidRPr="00B116BF" w:rsidRDefault="00A45E2B" w:rsidP="006340FF">
                  <w:pPr>
                    <w:pStyle w:val="ListParagraph"/>
                    <w:numPr>
                      <w:ilvl w:val="0"/>
                      <w:numId w:val="1"/>
                    </w:numPr>
                    <w:spacing w:after="0"/>
                    <w:rPr>
                      <w:rFonts w:cstheme="minorHAnsi"/>
                    </w:rPr>
                  </w:pPr>
                  <w:r w:rsidRPr="00B116BF">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B6601" w:rsidRDefault="006B6601" w:rsidP="006B6601">
                  <w:pPr>
                    <w:pStyle w:val="ListParagraph"/>
                    <w:spacing w:after="0"/>
                    <w:rPr>
                      <w:rFonts w:cstheme="minorHAnsi"/>
                    </w:rPr>
                  </w:pPr>
                  <w:r w:rsidRPr="00E153B9">
                    <w:rPr>
                      <w:rFonts w:cstheme="minorHAnsi"/>
                    </w:rPr>
                    <w:t>The SOC codes that student who complete the CA will be able to obtain entry-level employment in the restaurant industry, school food service, hospital and other hospitality industries. T</w:t>
                  </w:r>
                  <w:r>
                    <w:rPr>
                      <w:rFonts w:cstheme="minorHAnsi"/>
                    </w:rPr>
                    <w:t>he SOC codes are 1306.00, 1306.20, and 1306.30.  T</w:t>
                  </w:r>
                  <w:r w:rsidRPr="00E153B9">
                    <w:rPr>
                      <w:rFonts w:cstheme="minorHAnsi"/>
                    </w:rPr>
                    <w:t xml:space="preserve">he projected opening in the region is approximately 39 food </w:t>
                  </w:r>
                  <w:r w:rsidRPr="006B6601">
                    <w:rPr>
                      <w:rFonts w:cstheme="minorHAnsi"/>
                    </w:rPr>
                    <w:t>service workers (taken from the labor market summary of employment 2014). To ensure the proper courses were taken by the students who want to achieve the CA, we use information gathered by our advisory committee, internship site feedback, course material review and the National Restaurant Association.</w:t>
                  </w:r>
                </w:p>
                <w:p w:rsidR="006B6601" w:rsidRPr="00C54233" w:rsidRDefault="006B6601" w:rsidP="006B6601">
                  <w:pPr>
                    <w:pStyle w:val="ListParagraph"/>
                    <w:spacing w:after="0"/>
                    <w:rPr>
                      <w:rFonts w:cstheme="minorHAnsi"/>
                      <w:highlight w:val="yellow"/>
                    </w:rPr>
                  </w:pPr>
                </w:p>
                <w:p w:rsidR="00A45E2B" w:rsidRDefault="00A45E2B"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entry-level employment (such as advisory committee input, surveys, </w:t>
                  </w:r>
                  <w:r w:rsidR="00261D30">
                    <w:rPr>
                      <w:rFonts w:cstheme="minorHAnsi"/>
                    </w:rPr>
                    <w:t>and industry</w:t>
                  </w:r>
                  <w:r>
                    <w:rPr>
                      <w:rFonts w:cstheme="minorHAnsi"/>
                    </w:rPr>
                    <w:t xml:space="preserve"> feedback, licensing or accreditation agencies)?  How often do/will you re-examine the effectiveness of certificate requirements?</w:t>
                  </w:r>
                  <w:r w:rsidR="00947E23">
                    <w:rPr>
                      <w:rFonts w:cstheme="minorHAnsi"/>
                    </w:rPr>
                    <w:t xml:space="preserve">  </w:t>
                  </w:r>
                  <w:r w:rsidR="00947E23" w:rsidRPr="00007FF0">
                    <w:rPr>
                      <w:rFonts w:cstheme="minorHAnsi"/>
                    </w:rPr>
                    <w:t>The requirements for the certificate are reviewed annually.</w:t>
                  </w:r>
                </w:p>
                <w:p w:rsidR="00A45E2B" w:rsidRPr="006B6601" w:rsidRDefault="00A45E2B" w:rsidP="006340FF">
                  <w:pPr>
                    <w:pStyle w:val="ListParagraph"/>
                    <w:numPr>
                      <w:ilvl w:val="0"/>
                      <w:numId w:val="1"/>
                    </w:numPr>
                    <w:spacing w:after="0"/>
                    <w:rPr>
                      <w:rFonts w:cstheme="minorHAnsi"/>
                    </w:rPr>
                  </w:pPr>
                  <w:r w:rsidRPr="006B6601">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B6601" w:rsidRPr="006B6601" w:rsidRDefault="006B6601" w:rsidP="006B6601">
                  <w:pPr>
                    <w:pStyle w:val="ListParagraph"/>
                    <w:spacing w:after="0"/>
                    <w:rPr>
                      <w:rFonts w:cstheme="minorHAnsi"/>
                    </w:rPr>
                  </w:pPr>
                  <w:r w:rsidRPr="006B6601">
                    <w:rPr>
                      <w:rFonts w:cstheme="minorHAnsi"/>
                    </w:rPr>
                    <w:t xml:space="preserve">Degrees and certificates awarded (five-year trend data for each degree and/or certificate awarded) </w:t>
                  </w:r>
                </w:p>
                <w:p w:rsidR="006B6601" w:rsidRPr="006B6601" w:rsidRDefault="006B6601" w:rsidP="006B6601">
                  <w:pPr>
                    <w:pStyle w:val="ListParagraph"/>
                    <w:spacing w:after="0"/>
                    <w:rPr>
                      <w:rFonts w:cstheme="minorHAnsi"/>
                    </w:rPr>
                  </w:pPr>
                </w:p>
                <w:p w:rsidR="006B6601" w:rsidRPr="006B6601" w:rsidRDefault="006B6601" w:rsidP="006B6601">
                  <w:pPr>
                    <w:pStyle w:val="ListParagraph"/>
                    <w:spacing w:after="0"/>
                    <w:ind w:left="3600"/>
                    <w:rPr>
                      <w:rFonts w:cstheme="minorHAnsi"/>
                    </w:rPr>
                  </w:pPr>
                  <w:r w:rsidRPr="006B6601">
                    <w:rPr>
                      <w:rFonts w:cstheme="minorHAnsi"/>
                    </w:rPr>
                    <w:t>2008-</w:t>
                  </w:r>
                  <w:proofErr w:type="gramStart"/>
                  <w:r w:rsidRPr="006B6601">
                    <w:rPr>
                      <w:rFonts w:cstheme="minorHAnsi"/>
                    </w:rPr>
                    <w:t>09  2009</w:t>
                  </w:r>
                  <w:proofErr w:type="gramEnd"/>
                  <w:r w:rsidRPr="006B6601">
                    <w:rPr>
                      <w:rFonts w:cstheme="minorHAnsi"/>
                    </w:rPr>
                    <w:t>-10    2010-11   2011-12     2012-13   totals</w:t>
                  </w:r>
                </w:p>
                <w:p w:rsidR="006B6601" w:rsidRPr="006B6601" w:rsidRDefault="006B6601" w:rsidP="006B6601">
                  <w:pPr>
                    <w:pStyle w:val="ListParagraph"/>
                    <w:spacing w:after="0"/>
                    <w:ind w:left="2160" w:firstLine="720"/>
                    <w:rPr>
                      <w:rFonts w:cstheme="minorHAnsi"/>
                      <w:u w:val="single"/>
                    </w:rPr>
                  </w:pPr>
                  <w:r w:rsidRPr="006B6601">
                    <w:rPr>
                      <w:rFonts w:cstheme="minorHAnsi"/>
                    </w:rPr>
                    <w:t xml:space="preserve"> </w:t>
                  </w:r>
                  <w:r w:rsidRPr="006B6601">
                    <w:rPr>
                      <w:rFonts w:cstheme="minorHAnsi"/>
                    </w:rPr>
                    <w:tab/>
                  </w:r>
                  <w:r w:rsidRPr="006B6601">
                    <w:rPr>
                      <w:rFonts w:cstheme="minorHAnsi"/>
                      <w:u w:val="single"/>
                    </w:rPr>
                    <w:t>D        C     D      C       D       C          D    C         D    C___C___D_</w:t>
                  </w:r>
                </w:p>
                <w:p w:rsidR="006B6601" w:rsidRPr="006B6601" w:rsidRDefault="006B6601" w:rsidP="006B6601">
                  <w:pPr>
                    <w:spacing w:after="0"/>
                    <w:rPr>
                      <w:rFonts w:cstheme="minorHAnsi"/>
                    </w:rPr>
                  </w:pPr>
                  <w:r w:rsidRPr="006B6601">
                    <w:rPr>
                      <w:rFonts w:cstheme="minorHAnsi"/>
                    </w:rPr>
                    <w:t xml:space="preserve">     Child Nutrition Management                                     1                      1                                                        1</w:t>
                  </w:r>
                </w:p>
                <w:p w:rsidR="006B6601" w:rsidRPr="006B6601" w:rsidRDefault="006B6601" w:rsidP="006B6601">
                  <w:pPr>
                    <w:spacing w:after="0"/>
                    <w:rPr>
                      <w:rFonts w:cstheme="minorHAnsi"/>
                    </w:rPr>
                  </w:pPr>
                  <w:r w:rsidRPr="006B6601">
                    <w:rPr>
                      <w:rFonts w:cstheme="minorHAnsi"/>
                    </w:rPr>
                    <w:t xml:space="preserve">     Culinary Arts                                            2       2          4      7     5       8        5      20         9    22             59</w:t>
                  </w:r>
                </w:p>
                <w:p w:rsidR="006B6601" w:rsidRPr="006B6601" w:rsidRDefault="006B6601" w:rsidP="006B6601">
                  <w:pPr>
                    <w:spacing w:after="0"/>
                    <w:rPr>
                      <w:rFonts w:cstheme="minorHAnsi"/>
                    </w:rPr>
                  </w:pPr>
                  <w:r w:rsidRPr="006B6601">
                    <w:rPr>
                      <w:rFonts w:cstheme="minorHAnsi"/>
                    </w:rPr>
                    <w:t xml:space="preserve">      Dietetic Services</w:t>
                  </w:r>
                  <w:r w:rsidRPr="006B6601">
                    <w:rPr>
                      <w:rFonts w:cstheme="minorHAnsi"/>
                    </w:rPr>
                    <w:tab/>
                  </w:r>
                  <w:r w:rsidRPr="006B6601">
                    <w:rPr>
                      <w:rFonts w:cstheme="minorHAnsi"/>
                    </w:rPr>
                    <w:tab/>
                  </w:r>
                  <w:r w:rsidRPr="006B6601">
                    <w:rPr>
                      <w:rFonts w:cstheme="minorHAnsi"/>
                    </w:rPr>
                    <w:tab/>
                    <w:t xml:space="preserve">         3                  1               1                  1                  5             11</w:t>
                  </w:r>
                </w:p>
                <w:p w:rsidR="006B6601" w:rsidRPr="006B6601" w:rsidRDefault="006B6601" w:rsidP="006B6601">
                  <w:pPr>
                    <w:spacing w:after="0"/>
                    <w:rPr>
                      <w:rFonts w:cstheme="minorHAnsi"/>
                      <w:u w:val="single"/>
                    </w:rPr>
                  </w:pPr>
                  <w:r w:rsidRPr="006B6601">
                    <w:rPr>
                      <w:rFonts w:cstheme="minorHAnsi"/>
                    </w:rPr>
                    <w:t xml:space="preserve">      Food Management </w:t>
                  </w:r>
                  <w:r w:rsidRPr="006B6601">
                    <w:rPr>
                      <w:rFonts w:cstheme="minorHAnsi"/>
                    </w:rPr>
                    <w:tab/>
                  </w:r>
                  <w:r w:rsidRPr="006B6601">
                    <w:rPr>
                      <w:rFonts w:cstheme="minorHAnsi"/>
                    </w:rPr>
                    <w:tab/>
                  </w:r>
                  <w:r w:rsidRPr="006B6601">
                    <w:rPr>
                      <w:rFonts w:cstheme="minorHAnsi"/>
                    </w:rPr>
                    <w:tab/>
                  </w:r>
                  <w:r w:rsidRPr="006B6601">
                    <w:rPr>
                      <w:rFonts w:cstheme="minorHAnsi"/>
                      <w:u w:val="single"/>
                    </w:rPr>
                    <w:t>2                  1              1                 3                    1________     9</w:t>
                  </w:r>
                </w:p>
                <w:p w:rsidR="006B6601" w:rsidRPr="006B6601" w:rsidRDefault="006B6601" w:rsidP="006B6601">
                  <w:pPr>
                    <w:spacing w:after="0"/>
                    <w:rPr>
                      <w:rFonts w:cstheme="minorHAnsi"/>
                    </w:rPr>
                  </w:pPr>
                  <w:r w:rsidRPr="006B6601">
                    <w:rPr>
                      <w:rFonts w:cstheme="minorHAnsi"/>
                    </w:rPr>
                    <w:t xml:space="preserve">       Totals</w:t>
                  </w:r>
                  <w:r w:rsidRPr="006B6601">
                    <w:rPr>
                      <w:rFonts w:cstheme="minorHAnsi"/>
                    </w:rPr>
                    <w:tab/>
                  </w:r>
                  <w:r w:rsidRPr="006B6601">
                    <w:rPr>
                      <w:rFonts w:cstheme="minorHAnsi"/>
                    </w:rPr>
                    <w:tab/>
                  </w:r>
                  <w:r w:rsidRPr="006B6601">
                    <w:rPr>
                      <w:rFonts w:cstheme="minorHAnsi"/>
                    </w:rPr>
                    <w:tab/>
                  </w:r>
                  <w:r w:rsidRPr="006B6601">
                    <w:rPr>
                      <w:rFonts w:cstheme="minorHAnsi"/>
                    </w:rPr>
                    <w:tab/>
                    <w:t>4      5         6       8      6      10       8       21        10    27           71</w:t>
                  </w:r>
                </w:p>
                <w:p w:rsidR="006B6601" w:rsidRPr="006B6601" w:rsidRDefault="00332FC9" w:rsidP="006B6601">
                  <w:pPr>
                    <w:spacing w:after="0"/>
                    <w:rPr>
                      <w:rFonts w:cstheme="minorHAnsi"/>
                    </w:rPr>
                  </w:pPr>
                  <w:r>
                    <w:rPr>
                      <w:rFonts w:cstheme="minorHAnsi"/>
                    </w:rPr>
                    <w:t xml:space="preserve">      </w:t>
                  </w:r>
                  <w:r w:rsidR="006B6601" w:rsidRPr="006B6601">
                    <w:rPr>
                      <w:rFonts w:cstheme="minorHAnsi"/>
                    </w:rPr>
                    <w:t xml:space="preserve">Sanitation Certificates </w:t>
                  </w:r>
                  <w:r>
                    <w:rPr>
                      <w:rFonts w:cstheme="minorHAnsi"/>
                    </w:rPr>
                    <w:t>(non-BC cert)</w:t>
                  </w:r>
                  <w:bookmarkStart w:id="10" w:name="_GoBack"/>
                  <w:bookmarkEnd w:id="10"/>
                  <w:r w:rsidR="006B6601" w:rsidRPr="006B6601">
                    <w:rPr>
                      <w:rFonts w:cstheme="minorHAnsi"/>
                    </w:rPr>
                    <w:t xml:space="preserve">                                                                    44       58     62         164</w:t>
                  </w:r>
                </w:p>
                <w:p w:rsidR="006B6601" w:rsidRDefault="006B6601" w:rsidP="006B6601">
                  <w:pPr>
                    <w:pStyle w:val="ListParagraph"/>
                    <w:spacing w:after="0"/>
                    <w:rPr>
                      <w:rFonts w:cstheme="minorHAnsi"/>
                    </w:rPr>
                  </w:pPr>
                  <w:r w:rsidRPr="006B6601">
                    <w:rPr>
                      <w:rFonts w:cstheme="minorHAnsi"/>
                    </w:rPr>
                    <w:t>The plan is to increase the number of courses offered and vary the times the courses are offered.  Additionally, we are planning on adding a third full-time faculty member.</w:t>
                  </w:r>
                </w:p>
                <w:p w:rsidR="00332FC9" w:rsidRPr="006B6601" w:rsidRDefault="00332FC9" w:rsidP="006B6601">
                  <w:pPr>
                    <w:pStyle w:val="ListParagraph"/>
                    <w:spacing w:after="0"/>
                    <w:rPr>
                      <w:rFonts w:cstheme="minorHAnsi"/>
                    </w:rPr>
                  </w:pPr>
                </w:p>
                <w:p w:rsidR="00A45E2B" w:rsidRDefault="00A45E2B"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r w:rsidR="00332FC9">
                    <w:rPr>
                      <w:rFonts w:cstheme="minorHAnsi"/>
                    </w:rPr>
                    <w:t xml:space="preserve">  There haven’t been any new factors to consider.</w:t>
                  </w:r>
                </w:p>
                <w:p w:rsidR="00A45E2B" w:rsidRDefault="00A45E2B" w:rsidP="006340FF">
                  <w:pPr>
                    <w:ind w:left="360"/>
                  </w:pPr>
                </w:p>
              </w:txbxContent>
            </v:textbox>
          </v:shape>
        </w:pic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9C" w:rsidRDefault="0052399C">
      <w:pPr>
        <w:spacing w:after="0" w:line="240" w:lineRule="auto"/>
      </w:pPr>
      <w:r>
        <w:separator/>
      </w:r>
    </w:p>
  </w:endnote>
  <w:endnote w:type="continuationSeparator" w:id="0">
    <w:p w:rsidR="0052399C" w:rsidRDefault="0052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2B" w:rsidRPr="00C73841" w:rsidRDefault="00A45E2B">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41241B">
      <w:fldChar w:fldCharType="begin"/>
    </w:r>
    <w:r w:rsidR="008148FF">
      <w:instrText xml:space="preserve"> PAGE   \* MERGEFORMAT </w:instrText>
    </w:r>
    <w:r w:rsidR="0041241B">
      <w:fldChar w:fldCharType="separate"/>
    </w:r>
    <w:r w:rsidR="00332FC9" w:rsidRPr="00332FC9">
      <w:rPr>
        <w:rFonts w:asciiTheme="minorHAnsi" w:eastAsiaTheme="majorEastAsia" w:hAnsiTheme="minorHAnsi" w:cstheme="minorHAnsi"/>
        <w:noProof/>
        <w:sz w:val="18"/>
        <w:szCs w:val="18"/>
      </w:rPr>
      <w:t>9</w:t>
    </w:r>
    <w:r w:rsidR="0041241B">
      <w:rPr>
        <w:rFonts w:asciiTheme="minorHAnsi" w:eastAsiaTheme="majorEastAsia" w:hAnsiTheme="minorHAnsi" w:cstheme="minorHAnsi"/>
        <w:noProof/>
        <w:sz w:val="18"/>
        <w:szCs w:val="18"/>
      </w:rPr>
      <w:fldChar w:fldCharType="end"/>
    </w:r>
  </w:p>
  <w:p w:rsidR="00A45E2B" w:rsidRDefault="00A45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9C" w:rsidRDefault="0052399C">
      <w:pPr>
        <w:spacing w:after="0" w:line="240" w:lineRule="auto"/>
      </w:pPr>
      <w:r>
        <w:separator/>
      </w:r>
    </w:p>
  </w:footnote>
  <w:footnote w:type="continuationSeparator" w:id="0">
    <w:p w:rsidR="0052399C" w:rsidRDefault="00523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E349E"/>
    <w:multiLevelType w:val="hybridMultilevel"/>
    <w:tmpl w:val="5F5A63A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B057B"/>
    <w:multiLevelType w:val="hybridMultilevel"/>
    <w:tmpl w:val="7A244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F002B"/>
    <w:multiLevelType w:val="hybridMultilevel"/>
    <w:tmpl w:val="B83EC9B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E19"/>
    <w:multiLevelType w:val="hybridMultilevel"/>
    <w:tmpl w:val="B83EC9B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6480E"/>
    <w:multiLevelType w:val="hybridMultilevel"/>
    <w:tmpl w:val="B83EC9B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B2013"/>
    <w:multiLevelType w:val="hybridMultilevel"/>
    <w:tmpl w:val="73F282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8CE34A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E41C68"/>
    <w:multiLevelType w:val="hybridMultilevel"/>
    <w:tmpl w:val="75B40B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86E89"/>
    <w:multiLevelType w:val="hybridMultilevel"/>
    <w:tmpl w:val="05B89CD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23"/>
  </w:num>
  <w:num w:numId="5">
    <w:abstractNumId w:val="6"/>
  </w:num>
  <w:num w:numId="6">
    <w:abstractNumId w:val="19"/>
  </w:num>
  <w:num w:numId="7">
    <w:abstractNumId w:val="13"/>
  </w:num>
  <w:num w:numId="8">
    <w:abstractNumId w:val="16"/>
  </w:num>
  <w:num w:numId="9">
    <w:abstractNumId w:val="20"/>
  </w:num>
  <w:num w:numId="10">
    <w:abstractNumId w:val="15"/>
  </w:num>
  <w:num w:numId="11">
    <w:abstractNumId w:val="7"/>
  </w:num>
  <w:num w:numId="12">
    <w:abstractNumId w:val="22"/>
  </w:num>
  <w:num w:numId="13">
    <w:abstractNumId w:val="21"/>
  </w:num>
  <w:num w:numId="14">
    <w:abstractNumId w:val="0"/>
  </w:num>
  <w:num w:numId="15">
    <w:abstractNumId w:val="5"/>
  </w:num>
  <w:num w:numId="16">
    <w:abstractNumId w:val="14"/>
  </w:num>
  <w:num w:numId="17">
    <w:abstractNumId w:val="12"/>
  </w:num>
  <w:num w:numId="18">
    <w:abstractNumId w:val="17"/>
  </w:num>
  <w:num w:numId="19">
    <w:abstractNumId w:val="3"/>
  </w:num>
  <w:num w:numId="20">
    <w:abstractNumId w:val="4"/>
  </w:num>
  <w:num w:numId="21">
    <w:abstractNumId w:val="9"/>
  </w:num>
  <w:num w:numId="22">
    <w:abstractNumId w:val="18"/>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FF"/>
    <w:rsid w:val="00007FF0"/>
    <w:rsid w:val="000123A4"/>
    <w:rsid w:val="000452EB"/>
    <w:rsid w:val="00067B5E"/>
    <w:rsid w:val="00075DAB"/>
    <w:rsid w:val="000B1D46"/>
    <w:rsid w:val="000F3AA2"/>
    <w:rsid w:val="000F6AAC"/>
    <w:rsid w:val="00160600"/>
    <w:rsid w:val="001B247D"/>
    <w:rsid w:val="00242DCD"/>
    <w:rsid w:val="00261D30"/>
    <w:rsid w:val="002770CD"/>
    <w:rsid w:val="002D7005"/>
    <w:rsid w:val="003172BB"/>
    <w:rsid w:val="00332FC9"/>
    <w:rsid w:val="003339C4"/>
    <w:rsid w:val="003D27D1"/>
    <w:rsid w:val="003D53D0"/>
    <w:rsid w:val="003E6D1F"/>
    <w:rsid w:val="004055E2"/>
    <w:rsid w:val="0041241B"/>
    <w:rsid w:val="004145C8"/>
    <w:rsid w:val="00426EA2"/>
    <w:rsid w:val="004D7FFA"/>
    <w:rsid w:val="005060FD"/>
    <w:rsid w:val="005209BA"/>
    <w:rsid w:val="0052225C"/>
    <w:rsid w:val="0052399C"/>
    <w:rsid w:val="00542682"/>
    <w:rsid w:val="00572188"/>
    <w:rsid w:val="00572E41"/>
    <w:rsid w:val="005744EB"/>
    <w:rsid w:val="005E583A"/>
    <w:rsid w:val="00615822"/>
    <w:rsid w:val="006332F3"/>
    <w:rsid w:val="006340FF"/>
    <w:rsid w:val="006B304D"/>
    <w:rsid w:val="006B6601"/>
    <w:rsid w:val="00705A19"/>
    <w:rsid w:val="00716772"/>
    <w:rsid w:val="00716FCF"/>
    <w:rsid w:val="00767FCF"/>
    <w:rsid w:val="00794E94"/>
    <w:rsid w:val="007953A2"/>
    <w:rsid w:val="007A3CDB"/>
    <w:rsid w:val="007B318B"/>
    <w:rsid w:val="007D6046"/>
    <w:rsid w:val="007F43FC"/>
    <w:rsid w:val="007F5ADE"/>
    <w:rsid w:val="008148FF"/>
    <w:rsid w:val="0087586F"/>
    <w:rsid w:val="00904D55"/>
    <w:rsid w:val="00930D3C"/>
    <w:rsid w:val="00947E23"/>
    <w:rsid w:val="00966171"/>
    <w:rsid w:val="00996020"/>
    <w:rsid w:val="009D7845"/>
    <w:rsid w:val="00A07CDD"/>
    <w:rsid w:val="00A1600D"/>
    <w:rsid w:val="00A45E2B"/>
    <w:rsid w:val="00A70D85"/>
    <w:rsid w:val="00B116BF"/>
    <w:rsid w:val="00B2405F"/>
    <w:rsid w:val="00B4368E"/>
    <w:rsid w:val="00B574C3"/>
    <w:rsid w:val="00B6100A"/>
    <w:rsid w:val="00B949F8"/>
    <w:rsid w:val="00BF1C8C"/>
    <w:rsid w:val="00C500A9"/>
    <w:rsid w:val="00C54233"/>
    <w:rsid w:val="00C952BB"/>
    <w:rsid w:val="00CA40D5"/>
    <w:rsid w:val="00CC2779"/>
    <w:rsid w:val="00CD0C36"/>
    <w:rsid w:val="00CE4630"/>
    <w:rsid w:val="00CF3D41"/>
    <w:rsid w:val="00D370BE"/>
    <w:rsid w:val="00D90959"/>
    <w:rsid w:val="00DA0A51"/>
    <w:rsid w:val="00DA1872"/>
    <w:rsid w:val="00E06C7F"/>
    <w:rsid w:val="00E153B9"/>
    <w:rsid w:val="00E83DF1"/>
    <w:rsid w:val="00E96079"/>
    <w:rsid w:val="00F7208B"/>
    <w:rsid w:val="00F761F9"/>
    <w:rsid w:val="00F86C2A"/>
    <w:rsid w:val="00FD0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apple-converted-space">
    <w:name w:val="apple-converted-space"/>
    <w:basedOn w:val="DefaultParagraphFont"/>
    <w:rsid w:val="00930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apple-converted-space">
    <w:name w:val="apple-converted-space"/>
    <w:basedOn w:val="DefaultParagraphFont"/>
    <w:rsid w:val="0093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www.c-id.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C440A-ADA9-4469-AC47-91D6A863C676}"/>
</file>

<file path=customXml/itemProps2.xml><?xml version="1.0" encoding="utf-8"?>
<ds:datastoreItem xmlns:ds="http://schemas.openxmlformats.org/officeDocument/2006/customXml" ds:itemID="{354E9955-7474-4661-B7FC-901C249F7CE0}"/>
</file>

<file path=customXml/itemProps3.xml><?xml version="1.0" encoding="utf-8"?>
<ds:datastoreItem xmlns:ds="http://schemas.openxmlformats.org/officeDocument/2006/customXml" ds:itemID="{47920DD5-EC72-49C5-82CB-4A0E15765DFC}"/>
</file>

<file path=docProps/app.xml><?xml version="1.0" encoding="utf-8"?>
<Properties xmlns="http://schemas.openxmlformats.org/officeDocument/2006/extended-properties" xmlns:vt="http://schemas.openxmlformats.org/officeDocument/2006/docPropsVTypes">
  <Template>Normal.dotm</Template>
  <TotalTime>217</TotalTime>
  <Pages>9</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Leah Carter</cp:lastModifiedBy>
  <cp:revision>12</cp:revision>
  <cp:lastPrinted>2014-10-16T02:09:00Z</cp:lastPrinted>
  <dcterms:created xsi:type="dcterms:W3CDTF">2014-10-13T15:59:00Z</dcterms:created>
  <dcterms:modified xsi:type="dcterms:W3CDTF">2014-10-16T02:49:00Z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