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A4269F">
        <w:t>Dean of Instruction – Fine and Performing Arts, Social Sciences, and Foreign Languages</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A4269F">
        <w:rPr>
          <w:rFonts w:cstheme="minorHAnsi"/>
        </w:rPr>
      </w:r>
      <w:r w:rsidR="00A4269F">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A4269F">
        <w:rPr>
          <w:rFonts w:cstheme="minorHAnsi"/>
        </w:rPr>
      </w:r>
      <w:r w:rsidR="00A4269F">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A4269F">
        <w:rPr>
          <w:rFonts w:cstheme="minorHAnsi"/>
        </w:rPr>
        <w:fldChar w:fldCharType="begin">
          <w:ffData>
            <w:name w:val=""/>
            <w:enabled/>
            <w:calcOnExit w:val="0"/>
            <w:checkBox>
              <w:sizeAuto/>
              <w:default w:val="1"/>
            </w:checkBox>
          </w:ffData>
        </w:fldChar>
      </w:r>
      <w:r w:rsidR="00A4269F">
        <w:rPr>
          <w:rFonts w:cstheme="minorHAnsi"/>
        </w:rPr>
        <w:instrText xml:space="preserve"> FORMCHECKBOX </w:instrText>
      </w:r>
      <w:r w:rsidR="00A4269F">
        <w:rPr>
          <w:rFonts w:cstheme="minorHAnsi"/>
        </w:rPr>
      </w:r>
      <w:r w:rsidR="00A4269F">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A4269F" w:rsidRDefault="00A4269F" w:rsidP="00E04250">
      <w:pPr>
        <w:spacing w:after="0" w:line="240" w:lineRule="auto"/>
      </w:pPr>
      <w:r>
        <w:t xml:space="preserve">This administrative unit provides direct support to four academic departments (Art, Performing Arts, Foreign Languages, and Social Sciences), as well as two additional programs on an interim basis (English and Library). </w:t>
      </w:r>
      <w:r w:rsidR="008941C1">
        <w:t>The dean’s office ensures continuous operational services to promote student success, faculty support, and administrative efficiency.</w:t>
      </w: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222F77" w:rsidRDefault="008941C1" w:rsidP="00222F77">
      <w:pPr>
        <w:spacing w:after="0" w:line="240" w:lineRule="auto"/>
      </w:pPr>
      <w:r>
        <w:t xml:space="preserve">The Dean of Instruction’s office </w:t>
      </w:r>
      <w:r w:rsidRPr="008941C1">
        <w:t xml:space="preserve">provides opportunities </w:t>
      </w:r>
      <w:r>
        <w:t>for BC’s divers</w:t>
      </w:r>
      <w:r w:rsidR="00222F77">
        <w:t>e</w:t>
      </w:r>
      <w:r>
        <w:t xml:space="preserve"> student population to pursue their educational goals related to the disciplines of Art, Performing Arts, Foreign Languages, and </w:t>
      </w:r>
      <w:r w:rsidR="00222F77">
        <w:t>Social Sciences. The Dean’s office provides direct faculty support to meet their instructional and administrative needs. The Dean’s office ensures compliance with institutional processes and policies for the disciplines within the unit.</w:t>
      </w:r>
    </w:p>
    <w:p w:rsidR="008941C1" w:rsidRDefault="008941C1"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A4269F">
              <w:rPr>
                <w:sz w:val="20"/>
                <w:szCs w:val="20"/>
              </w:rPr>
            </w:r>
            <w:r w:rsidR="00A4269F">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A4269F">
              <w:rPr>
                <w:sz w:val="20"/>
                <w:szCs w:val="20"/>
              </w:rPr>
            </w:r>
            <w:r w:rsidR="00A4269F">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4269F">
              <w:rPr>
                <w:sz w:val="20"/>
                <w:szCs w:val="20"/>
              </w:rPr>
            </w:r>
            <w:r w:rsidR="00A4269F">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4269F">
              <w:rPr>
                <w:sz w:val="20"/>
                <w:szCs w:val="20"/>
              </w:rPr>
            </w:r>
            <w:r w:rsidR="00A4269F">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4269F">
              <w:rPr>
                <w:sz w:val="20"/>
                <w:szCs w:val="20"/>
              </w:rPr>
            </w:r>
            <w:r w:rsidR="00A4269F">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A4269F">
              <w:rPr>
                <w:sz w:val="20"/>
                <w:szCs w:val="20"/>
              </w:rPr>
            </w:r>
            <w:r w:rsidR="00A4269F">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A4269F">
              <w:rPr>
                <w:sz w:val="20"/>
                <w:szCs w:val="20"/>
              </w:rPr>
            </w:r>
            <w:r w:rsidR="00A4269F">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A4269F">
              <w:rPr>
                <w:b/>
                <w:sz w:val="20"/>
                <w:szCs w:val="20"/>
                <w:u w:val="single"/>
              </w:rPr>
            </w:r>
            <w:r w:rsidR="00A4269F">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A4269F" w:rsidP="00E04250">
            <w:pPr>
              <w:spacing w:after="0" w:line="240" w:lineRule="auto"/>
              <w:rPr>
                <w:rFonts w:eastAsiaTheme="minorHAnsi"/>
                <w:color w:val="000000"/>
                <w:sz w:val="24"/>
                <w:szCs w:val="24"/>
              </w:rPr>
            </w:pPr>
            <w:r>
              <w:rPr>
                <w:rFonts w:eastAsiaTheme="minorHAnsi"/>
                <w:color w:val="000000"/>
                <w:sz w:val="24"/>
                <w:szCs w:val="24"/>
              </w:rPr>
              <w:t>No formal goals listed due to the new cycle of administrative unit program reviews</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A9273F" w:rsidRPr="00E04250" w:rsidTr="00A9273F">
        <w:tc>
          <w:tcPr>
            <w:tcW w:w="4320" w:type="dxa"/>
            <w:tcBorders>
              <w:top w:val="single" w:sz="4" w:space="0" w:color="auto"/>
              <w:left w:val="single" w:sz="4" w:space="0" w:color="auto"/>
              <w:bottom w:val="single" w:sz="4" w:space="0" w:color="auto"/>
              <w:right w:val="single" w:sz="4" w:space="0" w:color="auto"/>
            </w:tcBorders>
          </w:tcPr>
          <w:p w:rsidR="00A9273F" w:rsidRPr="00A9273F" w:rsidRDefault="00C633AF" w:rsidP="00C633AF">
            <w:pPr>
              <w:rPr>
                <w:b/>
              </w:rPr>
            </w:pPr>
            <w:r>
              <w:rPr>
                <w:b/>
              </w:rPr>
              <w:t xml:space="preserve">1. </w:t>
            </w:r>
            <w:r w:rsidRPr="00C633AF">
              <w:t>Enhance the Pre-Law program through high school outreach/recruitment and through improved internal efforts (orientation sessions).</w:t>
            </w:r>
          </w:p>
        </w:tc>
        <w:tc>
          <w:tcPr>
            <w:tcW w:w="5310" w:type="dxa"/>
            <w:tcBorders>
              <w:top w:val="single" w:sz="4" w:space="0" w:color="auto"/>
              <w:left w:val="single" w:sz="4" w:space="0" w:color="auto"/>
              <w:bottom w:val="single" w:sz="4" w:space="0" w:color="auto"/>
              <w:right w:val="single" w:sz="4" w:space="0" w:color="auto"/>
            </w:tcBorders>
          </w:tcPr>
          <w:p w:rsidR="00A9273F" w:rsidRPr="00E04250" w:rsidRDefault="00C633AF" w:rsidP="00A9273F">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Pr>
                <w:sz w:val="20"/>
                <w:szCs w:val="20"/>
              </w:rPr>
            </w:r>
            <w:r>
              <w:rPr>
                <w:sz w:val="20"/>
                <w:szCs w:val="20"/>
              </w:rPr>
              <w:fldChar w:fldCharType="end"/>
            </w:r>
            <w:bookmarkEnd w:id="2"/>
            <w:r w:rsidR="00A9273F" w:rsidRPr="00E04250">
              <w:rPr>
                <w:sz w:val="20"/>
                <w:szCs w:val="20"/>
              </w:rPr>
              <w:t xml:space="preserve"> 1: Student Learning                            </w:t>
            </w:r>
          </w:p>
          <w:p w:rsidR="00A9273F" w:rsidRPr="00E04250" w:rsidRDefault="00A9273F" w:rsidP="00A9273F">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A9273F" w:rsidRPr="00E04250" w:rsidRDefault="00A9273F" w:rsidP="00A9273F">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A9273F" w:rsidRPr="00E04250" w:rsidRDefault="00A9273F" w:rsidP="00A9273F">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A9273F" w:rsidRPr="00E04250" w:rsidRDefault="00A9273F" w:rsidP="00A9273F">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A9273F" w:rsidRPr="00C633AF" w:rsidRDefault="00C633AF" w:rsidP="00C633AF">
            <w:r>
              <w:t>Increased student enrollment in the pre-</w:t>
            </w:r>
            <w:proofErr w:type="gramStart"/>
            <w:r>
              <w:t>law  program</w:t>
            </w:r>
            <w:proofErr w:type="gramEnd"/>
            <w:r>
              <w:t xml:space="preserve"> and affiliated courses. Increased program retention rates.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C633AF" w:rsidP="00C633AF">
            <w:pPr>
              <w:rPr>
                <w:b/>
              </w:rPr>
            </w:pPr>
            <w:r>
              <w:rPr>
                <w:b/>
              </w:rPr>
              <w:t xml:space="preserve">2. </w:t>
            </w:r>
            <w:r w:rsidRPr="00C633AF">
              <w:t>Provide additional opportunity for academic programs and faculty to connect with the dean’s office regarding matters of concern and improvement.</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A4269F">
              <w:rPr>
                <w:sz w:val="20"/>
                <w:szCs w:val="20"/>
              </w:rPr>
            </w:r>
            <w:r w:rsidR="00A4269F">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A4269F">
              <w:rPr>
                <w:sz w:val="20"/>
                <w:szCs w:val="20"/>
              </w:rPr>
            </w:r>
            <w:r w:rsidR="00A4269F">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4269F">
              <w:rPr>
                <w:sz w:val="20"/>
                <w:szCs w:val="20"/>
              </w:rPr>
            </w:r>
            <w:r w:rsidR="00A4269F">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4269F">
              <w:rPr>
                <w:sz w:val="20"/>
                <w:szCs w:val="20"/>
              </w:rPr>
            </w:r>
            <w:r w:rsidR="00A4269F">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C633AF" w:rsidP="00E04250">
            <w:pPr>
              <w:pStyle w:val="NoSpacing"/>
            </w:pPr>
            <w:r>
              <w:rPr>
                <w:sz w:val="20"/>
                <w:szCs w:val="20"/>
              </w:rPr>
              <w:fldChar w:fldCharType="begin">
                <w:ffData>
                  <w:name w:val="Check5"/>
                  <w:enabled/>
                  <w:calcOnExit w:val="0"/>
                  <w:checkBox>
                    <w:sizeAuto/>
                    <w:default w:val="1"/>
                  </w:checkBox>
                </w:ffData>
              </w:fldChar>
            </w:r>
            <w:bookmarkStart w:id="3" w:name="Check5"/>
            <w:r>
              <w:rPr>
                <w:sz w:val="20"/>
                <w:szCs w:val="20"/>
              </w:rPr>
              <w:instrText xml:space="preserve"> FORMCHECKBOX </w:instrText>
            </w:r>
            <w:r>
              <w:rPr>
                <w:sz w:val="20"/>
                <w:szCs w:val="20"/>
              </w:rPr>
            </w:r>
            <w:r>
              <w:rPr>
                <w:sz w:val="20"/>
                <w:szCs w:val="20"/>
              </w:rPr>
              <w:fldChar w:fldCharType="end"/>
            </w:r>
            <w:bookmarkEnd w:id="3"/>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850DCD" w:rsidRDefault="00850DCD" w:rsidP="00850DCD">
            <w:r>
              <w:t>Enhanced mutual communication between faculty and the dean’s office.</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8766DA" w:rsidRDefault="008766DA" w:rsidP="008766DA">
      <w:pPr>
        <w:pStyle w:val="NoSpacing"/>
        <w:numPr>
          <w:ilvl w:val="1"/>
          <w:numId w:val="9"/>
        </w:numPr>
      </w:pPr>
      <w:r>
        <w:t xml:space="preserve">Assessment of area-wide communication indicated that faculty greatly benefited from frequent meetings with the dean or area-wide meetings. As a result, additional area-wide meetings have been scheduled for 2015-16, including visits to department meetings, as well as an area-wide training for faculty involved in the evaluation process (as </w:t>
      </w:r>
      <w:proofErr w:type="spellStart"/>
      <w:r>
        <w:t>evaluees</w:t>
      </w:r>
      <w:proofErr w:type="spellEnd"/>
      <w:r>
        <w:t xml:space="preserve"> or evaluators). Feedback from this training was very positive.</w:t>
      </w:r>
    </w:p>
    <w:p w:rsidR="006340FF" w:rsidRPr="008766DA"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8766DA" w:rsidRDefault="008766DA" w:rsidP="008766DA">
      <w:pPr>
        <w:pStyle w:val="NoSpacing"/>
        <w:numPr>
          <w:ilvl w:val="1"/>
          <w:numId w:val="9"/>
        </w:numPr>
      </w:pPr>
      <w:r>
        <w:t>Program growth and enhancements last year, especially in Art, Performing Arts, and Pre-Law, reflected insufficient fiscal resources to adequately support the program with operational funds and instructional supplies. 2016-17 budget planning reflects these assessments.</w:t>
      </w:r>
    </w:p>
    <w:p w:rsidR="00E44195" w:rsidRDefault="00E44195" w:rsidP="008766DA">
      <w:pPr>
        <w:pStyle w:val="NoSpacing"/>
        <w:numPr>
          <w:ilvl w:val="1"/>
          <w:numId w:val="9"/>
        </w:numPr>
      </w:pPr>
      <w:r>
        <w:t xml:space="preserve">The unit experienced a significant increase in course (section) offerings in </w:t>
      </w:r>
      <w:proofErr w:type="gramStart"/>
      <w:r>
        <w:t>Fall</w:t>
      </w:r>
      <w:proofErr w:type="gramEnd"/>
      <w:r>
        <w:t xml:space="preserve"> 2015 to meet the growing enrollment needs </w:t>
      </w:r>
      <w:r w:rsidR="00307EF1">
        <w:t>of students. The most significant resource requests based on the assessment of unit growth are:</w:t>
      </w:r>
    </w:p>
    <w:p w:rsidR="00307EF1" w:rsidRDefault="00307EF1" w:rsidP="00307EF1">
      <w:pPr>
        <w:pStyle w:val="NoSpacing"/>
        <w:numPr>
          <w:ilvl w:val="2"/>
          <w:numId w:val="9"/>
        </w:numPr>
      </w:pPr>
      <w:r>
        <w:lastRenderedPageBreak/>
        <w:t>Instructional Furniture: Need for sufficient and adequate instructional furniture (chairs and desks) in classrooms. In some cases, enrollment capacities were increased to enroll waitlisted students, but we did not have sufficient furniture at the start of the semester to accommodate this enrollment surge. In other cases, many desks and chairs are antiquated or in desperate need of repair, thereby making them unfit for instruction and student learning, and ultimately student success.</w:t>
      </w:r>
    </w:p>
    <w:p w:rsidR="00307EF1" w:rsidRPr="008766DA" w:rsidRDefault="00307EF1" w:rsidP="00307EF1">
      <w:pPr>
        <w:pStyle w:val="NoSpacing"/>
        <w:numPr>
          <w:ilvl w:val="2"/>
          <w:numId w:val="9"/>
        </w:numPr>
      </w:pPr>
      <w:r>
        <w:t xml:space="preserve">Faculty: Two full-time faculty </w:t>
      </w:r>
      <w:r w:rsidR="00C92012">
        <w:t xml:space="preserve">(Social Sciences) </w:t>
      </w:r>
      <w:r>
        <w:t xml:space="preserve">are temporarily reassigned </w:t>
      </w:r>
      <w:r w:rsidR="000F6AB6">
        <w:t xml:space="preserve">to </w:t>
      </w:r>
      <w:r w:rsidR="00C92012">
        <w:t xml:space="preserve">administrative positions, and one full-time faculty member (Social Sciences) is on leave. Additionally, one faculty (Foreign Languages) resigned before the start of the academic. These four positions are currently vacant, although one position is filled by a temporary faculty. Additionally, recruitment for a full-time faculty position (Art) was unsuccessful, leaving an instructional vacancy. The unit is very </w:t>
      </w:r>
      <w:r w:rsidR="004664B0">
        <w:t xml:space="preserve">grateful for the many full-time </w:t>
      </w:r>
      <w:proofErr w:type="gramStart"/>
      <w:r w:rsidR="004664B0">
        <w:t>faculty</w:t>
      </w:r>
      <w:proofErr w:type="gramEnd"/>
      <w:r w:rsidR="004664B0">
        <w:t xml:space="preserve"> who elected to teach additional sections for overload, as well as for the support of the Executive Vice President to allow adjunct faculty to teach beyond their typical load limits. Each department conducted aggressive adjunct faculty recruitments, resulting in many new hires, and some of which just prior to the </w:t>
      </w:r>
      <w:proofErr w:type="gramStart"/>
      <w:r w:rsidR="004664B0">
        <w:t>Fall</w:t>
      </w:r>
      <w:proofErr w:type="gramEnd"/>
      <w:r w:rsidR="004664B0">
        <w:t xml:space="preserve"> semester. The unit is also grateful for the support of our colleagues in Human Resources for accommodating the unit’s needs for expedited processing of hiring paperwork. Finally, the unit is grateful for </w:t>
      </w:r>
      <w:r w:rsidR="006947C4">
        <w:t>the academic scheduler for making numerous changes to accommodate our personnel and instructional assignment changes.</w:t>
      </w: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850DCD" w:rsidRDefault="00850DCD" w:rsidP="00850DCD">
      <w:pPr>
        <w:pStyle w:val="ListParagraph"/>
        <w:numPr>
          <w:ilvl w:val="1"/>
          <w:numId w:val="9"/>
        </w:numPr>
        <w:spacing w:after="0" w:line="240" w:lineRule="auto"/>
      </w:pPr>
      <w:r>
        <w:t>Each academic area has aligned SLOs with PLOs using a mapping matrix. The PLOs also align with BC’s ILOs.</w:t>
      </w:r>
    </w:p>
    <w:p w:rsidR="00113E76" w:rsidRPr="006947C4" w:rsidRDefault="00113E76" w:rsidP="00113E76">
      <w:pPr>
        <w:pStyle w:val="ListParagraph"/>
        <w:numPr>
          <w:ilvl w:val="0"/>
          <w:numId w:val="9"/>
        </w:numPr>
        <w:spacing w:after="0" w:line="240" w:lineRule="auto"/>
      </w:pPr>
      <w:r w:rsidRPr="00E04250">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6947C4" w:rsidRPr="006947C4" w:rsidRDefault="006947C4" w:rsidP="006947C4">
      <w:pPr>
        <w:pStyle w:val="ListParagraph"/>
        <w:numPr>
          <w:ilvl w:val="1"/>
          <w:numId w:val="9"/>
        </w:numPr>
        <w:spacing w:after="0" w:line="240" w:lineRule="auto"/>
      </w:pPr>
      <w:r>
        <w:rPr>
          <w:rFonts w:cstheme="minorHAnsi"/>
        </w:rPr>
        <w:t>Through the provision of instruction through various disciplines, the administrative unit supports each of BC’s four (4) Institutional Learning Outcomes (ILOs):</w:t>
      </w:r>
    </w:p>
    <w:p w:rsidR="006947C4" w:rsidRPr="006947C4" w:rsidRDefault="006947C4" w:rsidP="006947C4">
      <w:pPr>
        <w:pStyle w:val="ListParagraph"/>
        <w:numPr>
          <w:ilvl w:val="2"/>
          <w:numId w:val="9"/>
        </w:numPr>
        <w:spacing w:after="0" w:line="240" w:lineRule="auto"/>
      </w:pPr>
      <w:r>
        <w:rPr>
          <w:rFonts w:cstheme="minorHAnsi"/>
        </w:rPr>
        <w:t>Thinking critically</w:t>
      </w:r>
    </w:p>
    <w:p w:rsidR="006947C4" w:rsidRPr="006947C4" w:rsidRDefault="006947C4" w:rsidP="006947C4">
      <w:pPr>
        <w:pStyle w:val="ListParagraph"/>
        <w:numPr>
          <w:ilvl w:val="2"/>
          <w:numId w:val="9"/>
        </w:numPr>
        <w:spacing w:after="0" w:line="240" w:lineRule="auto"/>
      </w:pPr>
      <w:r>
        <w:rPr>
          <w:rFonts w:cstheme="minorHAnsi"/>
        </w:rPr>
        <w:t>Communicating effectively</w:t>
      </w:r>
    </w:p>
    <w:p w:rsidR="006947C4" w:rsidRPr="006947C4" w:rsidRDefault="006947C4" w:rsidP="006947C4">
      <w:pPr>
        <w:pStyle w:val="ListParagraph"/>
        <w:numPr>
          <w:ilvl w:val="2"/>
          <w:numId w:val="9"/>
        </w:numPr>
        <w:spacing w:after="0" w:line="240" w:lineRule="auto"/>
      </w:pPr>
      <w:r>
        <w:rPr>
          <w:rFonts w:cstheme="minorHAnsi"/>
        </w:rPr>
        <w:t>Demonstrating competence</w:t>
      </w:r>
    </w:p>
    <w:p w:rsidR="006947C4" w:rsidRPr="005620FD" w:rsidRDefault="006947C4" w:rsidP="006947C4">
      <w:pPr>
        <w:pStyle w:val="ListParagraph"/>
        <w:numPr>
          <w:ilvl w:val="2"/>
          <w:numId w:val="9"/>
        </w:numPr>
        <w:spacing w:after="0" w:line="240" w:lineRule="auto"/>
      </w:pPr>
      <w:r>
        <w:rPr>
          <w:rFonts w:cstheme="minorHAnsi"/>
        </w:rPr>
        <w:t>Engaging productively</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947C4" w:rsidRDefault="006947C4" w:rsidP="006947C4">
      <w:pPr>
        <w:pStyle w:val="ListParagraph"/>
        <w:numPr>
          <w:ilvl w:val="1"/>
          <w:numId w:val="9"/>
        </w:numPr>
        <w:spacing w:after="0" w:line="240" w:lineRule="auto"/>
        <w:rPr>
          <w:rFonts w:cstheme="minorHAnsi"/>
        </w:rPr>
      </w:pPr>
      <w:r>
        <w:rPr>
          <w:rFonts w:cstheme="minorHAnsi"/>
        </w:rPr>
        <w:t xml:space="preserve">An area of </w:t>
      </w:r>
      <w:r w:rsidR="00D96886">
        <w:rPr>
          <w:rFonts w:cstheme="minorHAnsi"/>
        </w:rPr>
        <w:t xml:space="preserve">continued strength is the classified </w:t>
      </w:r>
      <w:proofErr w:type="gramStart"/>
      <w:r w:rsidR="00D96886">
        <w:rPr>
          <w:rFonts w:cstheme="minorHAnsi"/>
        </w:rPr>
        <w:t>staff that support</w:t>
      </w:r>
      <w:proofErr w:type="gramEnd"/>
      <w:r w:rsidR="00D96886">
        <w:rPr>
          <w:rFonts w:cstheme="minorHAnsi"/>
        </w:rPr>
        <w:t xml:space="preserve"> the ongoing operations of the unit with efficient and courteous service. </w:t>
      </w:r>
    </w:p>
    <w:p w:rsidR="00D96886" w:rsidRPr="00E04250" w:rsidRDefault="00D96886" w:rsidP="006947C4">
      <w:pPr>
        <w:pStyle w:val="ListParagraph"/>
        <w:numPr>
          <w:ilvl w:val="1"/>
          <w:numId w:val="9"/>
        </w:numPr>
        <w:spacing w:after="0" w:line="240" w:lineRule="auto"/>
        <w:rPr>
          <w:rFonts w:cstheme="minorHAnsi"/>
        </w:rPr>
      </w:pPr>
      <w:r>
        <w:rPr>
          <w:rFonts w:cstheme="minorHAnsi"/>
        </w:rPr>
        <w:t xml:space="preserve">The </w:t>
      </w:r>
      <w:proofErr w:type="gramStart"/>
      <w:r>
        <w:rPr>
          <w:rFonts w:cstheme="minorHAnsi"/>
        </w:rPr>
        <w:t>faculty within the unit are</w:t>
      </w:r>
      <w:proofErr w:type="gramEnd"/>
      <w:r>
        <w:rPr>
          <w:rFonts w:cstheme="minorHAnsi"/>
        </w:rPr>
        <w:t xml:space="preserve"> collaborative and effective in their instructional fields.</w:t>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D96886" w:rsidRPr="00E04250" w:rsidRDefault="00D96886" w:rsidP="00D96886">
      <w:pPr>
        <w:pStyle w:val="ListParagraph"/>
        <w:numPr>
          <w:ilvl w:val="1"/>
          <w:numId w:val="9"/>
        </w:numPr>
        <w:spacing w:after="0" w:line="240" w:lineRule="auto"/>
        <w:rPr>
          <w:rFonts w:cstheme="minorHAnsi"/>
        </w:rPr>
      </w:pPr>
      <w:r>
        <w:rPr>
          <w:rFonts w:cstheme="minorHAnsi"/>
        </w:rPr>
        <w:t>Continued program and enrollment growth, combined with declining fiscal resources, poses a weakness to the continuation of providing adequate instructional support to faculty, as well as to maintain program standards.</w:t>
      </w: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D96886" w:rsidRPr="00E04250" w:rsidRDefault="00D96886" w:rsidP="00D96886">
      <w:pPr>
        <w:pStyle w:val="ListParagraph"/>
        <w:numPr>
          <w:ilvl w:val="1"/>
          <w:numId w:val="9"/>
        </w:numPr>
        <w:spacing w:after="0" w:line="240" w:lineRule="auto"/>
        <w:rPr>
          <w:rFonts w:cstheme="minorHAnsi"/>
        </w:rPr>
      </w:pPr>
      <w:r>
        <w:rPr>
          <w:rFonts w:cstheme="minorHAnsi"/>
        </w:rPr>
        <w:t>Please refer to bullet IV.B.2.b above regarding unexpected staffing circumstances.</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D0281C" w:rsidRPr="00E04250" w:rsidRDefault="00D0281C" w:rsidP="00D0281C">
      <w:pPr>
        <w:pStyle w:val="ListParagraph"/>
        <w:numPr>
          <w:ilvl w:val="1"/>
          <w:numId w:val="7"/>
        </w:numPr>
        <w:spacing w:after="0" w:line="240" w:lineRule="auto"/>
        <w:rPr>
          <w:rFonts w:cstheme="minorHAnsi"/>
        </w:rPr>
      </w:pPr>
      <w:r>
        <w:rPr>
          <w:rFonts w:cstheme="minorHAnsi"/>
        </w:rPr>
        <w:t xml:space="preserve">Faculty and personnel needs are identified on their respective program reviews. </w:t>
      </w:r>
    </w:p>
    <w:p w:rsidR="006340FF" w:rsidRPr="006B7BBF" w:rsidRDefault="00BD4AB8" w:rsidP="00E04250">
      <w:pPr>
        <w:pStyle w:val="ListParagraph"/>
        <w:numPr>
          <w:ilvl w:val="0"/>
          <w:numId w:val="7"/>
        </w:numPr>
        <w:spacing w:after="0" w:line="240" w:lineRule="auto"/>
        <w:ind w:left="720"/>
        <w:rPr>
          <w:rFonts w:cstheme="minorHAnsi"/>
          <w:u w:val="single"/>
        </w:rPr>
      </w:pPr>
      <w:r w:rsidRPr="006B7BBF">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A06FD9" w:rsidRDefault="006B7BBF" w:rsidP="00A06FD9">
      <w:pPr>
        <w:pStyle w:val="ListParagraph"/>
        <w:numPr>
          <w:ilvl w:val="1"/>
          <w:numId w:val="8"/>
        </w:numPr>
        <w:spacing w:after="0" w:line="240" w:lineRule="auto"/>
      </w:pPr>
      <w:r>
        <w:t xml:space="preserve">The classified </w:t>
      </w:r>
      <w:proofErr w:type="gramStart"/>
      <w:r>
        <w:t>staff in the Dean’s office occasional participate</w:t>
      </w:r>
      <w:proofErr w:type="gramEnd"/>
      <w:r>
        <w:t xml:space="preserve"> in campus-based or local professional development opportunities to enhance their knowledge of college operations and/or skills related to their responsibilities. These professional development opportunities ultimately translate to better customer to students and faculty, as well as more effective support for the dean.</w:t>
      </w:r>
    </w:p>
    <w:p w:rsidR="006B7BBF" w:rsidRPr="00E04250" w:rsidRDefault="006B7BBF" w:rsidP="00A06FD9">
      <w:pPr>
        <w:pStyle w:val="ListParagraph"/>
        <w:numPr>
          <w:ilvl w:val="1"/>
          <w:numId w:val="8"/>
        </w:numPr>
        <w:spacing w:after="0" w:line="240" w:lineRule="auto"/>
      </w:pPr>
      <w:r>
        <w:t xml:space="preserve">The Dean participates in occasional statewide conferences related to his areas of responsibility. These opportunities provide increased access to current instructional information, as well as opportunities for networking and collaboration.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B7BBF" w:rsidRDefault="006B7BBF" w:rsidP="006B7BBF">
      <w:pPr>
        <w:pStyle w:val="ListParagraph"/>
        <w:numPr>
          <w:ilvl w:val="1"/>
          <w:numId w:val="8"/>
        </w:numPr>
        <w:spacing w:after="0" w:line="240" w:lineRule="auto"/>
      </w:pPr>
      <w:r>
        <w:t>This administrative unit has played a central role in delivering many campus-based conferences for the past two years. The unit is available to provide similar conferences and opportunities in the future.</w:t>
      </w:r>
    </w:p>
    <w:p w:rsidR="006B7BBF" w:rsidRDefault="006B7BBF" w:rsidP="006B7BBF">
      <w:pPr>
        <w:pStyle w:val="ListParagraph"/>
        <w:numPr>
          <w:ilvl w:val="1"/>
          <w:numId w:val="8"/>
        </w:numPr>
        <w:spacing w:after="0" w:line="240" w:lineRule="auto"/>
      </w:pPr>
      <w:r>
        <w:t>The unit piloted an area-wide faculty development seminar on the evaluation process. The workshop was very well received and can be ‘scaled-up’ to an institution-level program</w:t>
      </w:r>
    </w:p>
    <w:p w:rsidR="006B7BBF" w:rsidRDefault="006B7BBF" w:rsidP="006B7BBF">
      <w:pPr>
        <w:pStyle w:val="ListParagraph"/>
        <w:numPr>
          <w:ilvl w:val="1"/>
          <w:numId w:val="8"/>
        </w:numPr>
        <w:spacing w:after="0" w:line="240" w:lineRule="auto"/>
      </w:pPr>
      <w:r>
        <w:t>The dean is involved in supporting Adjunct Faculty Orientation, as well as the New Faculty Seminar series.</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E14C31" w:rsidRPr="0063650E" w:rsidRDefault="00E14C31" w:rsidP="00E14C31">
      <w:pPr>
        <w:pStyle w:val="ListParagraph"/>
        <w:numPr>
          <w:ilvl w:val="1"/>
          <w:numId w:val="15"/>
        </w:numPr>
        <w:spacing w:after="0" w:line="240" w:lineRule="auto"/>
        <w:rPr>
          <w:rFonts w:cstheme="minorHAnsi"/>
        </w:rPr>
      </w:pPr>
      <w:r>
        <w:rPr>
          <w:rFonts w:cstheme="minorHAnsi"/>
        </w:rPr>
        <w:t>Several facilities requests were made (non-program review) related to general maintenance and repairs, such as repairs to light fixtures, pest control, and instructional furniture. The fulfillment of these requests resulted in a safer environment for students and faculty which is more conducive to learning and instruction, thereby contributing to student success</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E14C31" w:rsidRPr="0063650E" w:rsidRDefault="00E14C31" w:rsidP="00E14C31">
      <w:pPr>
        <w:pStyle w:val="ListParagraph"/>
        <w:numPr>
          <w:ilvl w:val="1"/>
          <w:numId w:val="15"/>
        </w:numPr>
        <w:spacing w:after="0" w:line="240" w:lineRule="auto"/>
        <w:rPr>
          <w:rFonts w:cstheme="minorHAnsi"/>
        </w:rPr>
      </w:pPr>
      <w:r>
        <w:rPr>
          <w:rFonts w:cstheme="minorHAnsi"/>
        </w:rPr>
        <w:t>A request for updated instructional furniture will result in an educational atmosphere that is more conducive to learning and success.</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4D79E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4D79EE" w:rsidRDefault="004D79EE" w:rsidP="004D79EE">
      <w:pPr>
        <w:pStyle w:val="ListParagraph"/>
        <w:numPr>
          <w:ilvl w:val="1"/>
          <w:numId w:val="22"/>
        </w:numPr>
        <w:spacing w:after="0" w:line="240" w:lineRule="auto"/>
        <w:contextualSpacing w:val="0"/>
        <w:rPr>
          <w:rFonts w:eastAsiaTheme="minorHAnsi"/>
        </w:rPr>
      </w:pPr>
      <w:r>
        <w:t xml:space="preserve">N/A. We did not receive new or repurposed </w:t>
      </w:r>
      <w:r w:rsidR="00EB76C9">
        <w:t>technology in 2014-15.</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EB76C9" w:rsidRDefault="00EB76C9" w:rsidP="00EB76C9">
      <w:pPr>
        <w:pStyle w:val="ListParagraph"/>
        <w:numPr>
          <w:ilvl w:val="1"/>
          <w:numId w:val="22"/>
        </w:numPr>
        <w:spacing w:after="0" w:line="240" w:lineRule="auto"/>
        <w:contextualSpacing w:val="0"/>
      </w:pPr>
      <w:r>
        <w:t>N/A. No ISIT requests will be made in AY 2015-16.</w:t>
      </w:r>
    </w:p>
    <w:p w:rsidR="0063650E" w:rsidRDefault="0063650E" w:rsidP="00EB76C9">
      <w:pPr>
        <w:pStyle w:val="ListParagraph"/>
        <w:numPr>
          <w:ilvl w:val="0"/>
          <w:numId w:val="22"/>
        </w:numPr>
        <w:spacing w:after="0" w:line="240" w:lineRule="auto"/>
        <w:contextualSpacing w:val="0"/>
      </w:pPr>
      <w:r>
        <w:lastRenderedPageBreak/>
        <w:t xml:space="preserve">Discuss the effectiveness of technology used in your area to meet college strategic goals. </w:t>
      </w:r>
    </w:p>
    <w:p w:rsidR="00EB76C9" w:rsidRPr="00EB76C9" w:rsidRDefault="00EB76C9" w:rsidP="00A27FA1">
      <w:pPr>
        <w:pStyle w:val="NoSpacing"/>
      </w:pPr>
      <w:r>
        <w:t xml:space="preserve">Access to technology enhances the unit’s communication and operational effectiveness. Many processes are streamlined and expedited due to technology, such as scheduling, faculty evaluations, </w:t>
      </w:r>
      <w:r w:rsidR="00A27FA1">
        <w:t xml:space="preserve">and other operational elements. As a result, the five institutional goals are more readily and effectively achieved, including: </w:t>
      </w:r>
      <w:r w:rsidR="00A27FA1" w:rsidRPr="00E04250">
        <w:rPr>
          <w:sz w:val="20"/>
          <w:szCs w:val="20"/>
        </w:rPr>
        <w:t>St</w:t>
      </w:r>
      <w:r w:rsidR="00A27FA1">
        <w:rPr>
          <w:sz w:val="20"/>
          <w:szCs w:val="20"/>
        </w:rPr>
        <w:t xml:space="preserve">udent Learning; </w:t>
      </w:r>
      <w:r w:rsidR="00A27FA1" w:rsidRPr="00E04250">
        <w:rPr>
          <w:sz w:val="20"/>
          <w:szCs w:val="20"/>
        </w:rPr>
        <w:t>Student Progr</w:t>
      </w:r>
      <w:r w:rsidR="00A27FA1">
        <w:rPr>
          <w:sz w:val="20"/>
          <w:szCs w:val="20"/>
        </w:rPr>
        <w:t xml:space="preserve">ession and Completion; </w:t>
      </w:r>
      <w:r w:rsidR="00A27FA1" w:rsidRPr="00E04250">
        <w:rPr>
          <w:sz w:val="20"/>
          <w:szCs w:val="20"/>
        </w:rPr>
        <w:t>Facilities</w:t>
      </w:r>
      <w:r w:rsidR="00A27FA1">
        <w:rPr>
          <w:sz w:val="20"/>
          <w:szCs w:val="20"/>
        </w:rPr>
        <w:t xml:space="preserve">; </w:t>
      </w:r>
      <w:r w:rsidR="00A27FA1" w:rsidRPr="00E04250">
        <w:rPr>
          <w:sz w:val="20"/>
          <w:szCs w:val="20"/>
        </w:rPr>
        <w:t>Oversight and Accountability</w:t>
      </w:r>
      <w:r w:rsidR="00A27FA1">
        <w:rPr>
          <w:sz w:val="20"/>
          <w:szCs w:val="20"/>
        </w:rPr>
        <w:t xml:space="preserve">; and </w:t>
      </w:r>
      <w:r w:rsidR="00A27FA1" w:rsidRPr="00E04250">
        <w:rPr>
          <w:sz w:val="20"/>
          <w:szCs w:val="20"/>
        </w:rPr>
        <w:t xml:space="preserve">Leadership and Engagement        </w:t>
      </w:r>
      <w:r w:rsidR="00A27FA1" w:rsidRPr="00E04250">
        <w:t xml:space="preserve">               </w:t>
      </w:r>
    </w:p>
    <w:p w:rsidR="00EB76C9" w:rsidRPr="00E04250" w:rsidRDefault="00EB76C9" w:rsidP="00E04250">
      <w:pPr>
        <w:spacing w:after="0" w:line="240" w:lineRule="auto"/>
        <w:rPr>
          <w:rFonts w:cstheme="minorHAnsi"/>
          <w:u w:val="single"/>
        </w:rPr>
      </w:pPr>
    </w:p>
    <w:p w:rsidR="0063254D" w:rsidRPr="0063254D" w:rsidRDefault="00A6058F" w:rsidP="0063254D">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r w:rsidR="0063254D">
        <w:rPr>
          <w:rFonts w:cstheme="minorHAnsi"/>
        </w:rPr>
        <w:t xml:space="preserve"> Budget enhancements will primarily fund operational needs for the Pre-Law program, which currently does not have a budget allocation. Expenses associated with this program include annual membership fees to maintain association with the ‘Pathways’ program, student travel to law schools, operational costs for Pre-Law Advisory Council, and prof</w:t>
      </w:r>
      <w:r w:rsidR="00D26BFF">
        <w:rPr>
          <w:rFonts w:cstheme="minorHAnsi"/>
        </w:rPr>
        <w:t xml:space="preserve">essional travel. Funding </w:t>
      </w:r>
      <w:r w:rsidR="0063254D">
        <w:rPr>
          <w:rFonts w:cstheme="minorHAnsi"/>
        </w:rPr>
        <w:t xml:space="preserve">will support the success of over 60 students enrolled in the </w:t>
      </w:r>
      <w:r w:rsidR="00D26BFF">
        <w:rPr>
          <w:rFonts w:cstheme="minorHAnsi"/>
        </w:rPr>
        <w:t xml:space="preserve">Pre-Law </w:t>
      </w:r>
      <w:r w:rsidR="0063254D">
        <w:rPr>
          <w:rFonts w:cstheme="minorHAnsi"/>
        </w:rPr>
        <w:t>program.</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D26BFF" w:rsidRPr="00E04250" w:rsidRDefault="00D26BFF" w:rsidP="00E04250">
      <w:pPr>
        <w:spacing w:after="0" w:line="240" w:lineRule="auto"/>
      </w:pPr>
      <w:r>
        <w:tab/>
        <w:t>Overall, this administrative unit is functioning well and advancing the strategic directions of the institution, as well as creating opportunities for students to achieve learning outcomes (SLOs, PLOs, and ILOs). Further effectiveness of the administrative unit’s success can be achieved with additional funding to support new programs that have not be included in past budget cycles, such as Pre-Law.</w:t>
      </w:r>
      <w:bookmarkStart w:id="4" w:name="_GoBack"/>
      <w:bookmarkEnd w:id="4"/>
    </w:p>
    <w:p w:rsidR="00D26BFF" w:rsidRDefault="00D26BFF" w:rsidP="00E04250">
      <w:pPr>
        <w:spacing w:after="0" w:line="240" w:lineRule="auto"/>
        <w:rPr>
          <w:b/>
          <w:sz w:val="20"/>
          <w:szCs w:val="20"/>
          <w:u w:val="single"/>
        </w:rPr>
      </w:pPr>
    </w:p>
    <w:p w:rsidR="00D26BFF" w:rsidRDefault="00D26BFF"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6947C4"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5"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5"/>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A4269F">
        <w:rPr>
          <w:rFonts w:cstheme="minorHAnsi"/>
          <w:sz w:val="20"/>
          <w:szCs w:val="20"/>
        </w:rPr>
      </w:r>
      <w:r w:rsidR="00A4269F">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A4269F">
        <w:rPr>
          <w:rFonts w:cstheme="minorHAnsi"/>
          <w:sz w:val="20"/>
          <w:szCs w:val="20"/>
        </w:rPr>
      </w:r>
      <w:r w:rsidR="00A4269F">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A4269F">
        <w:rPr>
          <w:rFonts w:cstheme="minorHAnsi"/>
          <w:sz w:val="20"/>
          <w:szCs w:val="20"/>
        </w:rPr>
      </w:r>
      <w:r w:rsidR="00A4269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A4269F">
        <w:rPr>
          <w:rFonts w:cstheme="minorHAnsi"/>
          <w:sz w:val="20"/>
          <w:szCs w:val="20"/>
        </w:rPr>
      </w:r>
      <w:r w:rsidR="00A4269F">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6947C4">
        <w:rPr>
          <w:rFonts w:cstheme="minorHAnsi"/>
          <w:sz w:val="20"/>
          <w:szCs w:val="20"/>
        </w:rPr>
        <w:fldChar w:fldCharType="begin">
          <w:ffData>
            <w:name w:val="Check17"/>
            <w:enabled/>
            <w:calcOnExit w:val="0"/>
            <w:checkBox>
              <w:sizeAuto/>
              <w:default w:val="1"/>
            </w:checkBox>
          </w:ffData>
        </w:fldChar>
      </w:r>
      <w:bookmarkStart w:id="6" w:name="Check17"/>
      <w:r w:rsidR="006947C4">
        <w:rPr>
          <w:rFonts w:cstheme="minorHAnsi"/>
          <w:sz w:val="20"/>
          <w:szCs w:val="20"/>
        </w:rPr>
        <w:instrText xml:space="preserve"> FORMCHECKBOX </w:instrText>
      </w:r>
      <w:r w:rsidR="006947C4">
        <w:rPr>
          <w:rFonts w:cstheme="minorHAnsi"/>
          <w:sz w:val="20"/>
          <w:szCs w:val="20"/>
        </w:rPr>
      </w:r>
      <w:r w:rsidR="006947C4">
        <w:rPr>
          <w:rFonts w:cstheme="minorHAnsi"/>
          <w:sz w:val="20"/>
          <w:szCs w:val="20"/>
        </w:rPr>
        <w:fldChar w:fldCharType="end"/>
      </w:r>
      <w:bookmarkEnd w:id="6"/>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A4269F">
        <w:rPr>
          <w:rFonts w:cstheme="minorHAnsi"/>
          <w:sz w:val="20"/>
          <w:szCs w:val="20"/>
        </w:rPr>
      </w:r>
      <w:r w:rsidR="00A4269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A4269F">
        <w:rPr>
          <w:rFonts w:cstheme="minorHAnsi"/>
          <w:sz w:val="20"/>
          <w:szCs w:val="20"/>
        </w:rPr>
      </w:r>
      <w:r w:rsidR="00A4269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6947C4">
        <w:rPr>
          <w:rFonts w:cstheme="minorHAnsi"/>
          <w:sz w:val="20"/>
          <w:szCs w:val="20"/>
        </w:rPr>
        <w:fldChar w:fldCharType="begin">
          <w:ffData>
            <w:name w:val="Check15"/>
            <w:enabled/>
            <w:calcOnExit w:val="0"/>
            <w:checkBox>
              <w:sizeAuto/>
              <w:default w:val="1"/>
            </w:checkBox>
          </w:ffData>
        </w:fldChar>
      </w:r>
      <w:bookmarkStart w:id="7" w:name="Check15"/>
      <w:r w:rsidR="006947C4">
        <w:rPr>
          <w:rFonts w:cstheme="minorHAnsi"/>
          <w:sz w:val="20"/>
          <w:szCs w:val="20"/>
        </w:rPr>
        <w:instrText xml:space="preserve"> FORMCHECKBOX </w:instrText>
      </w:r>
      <w:r w:rsidR="006947C4">
        <w:rPr>
          <w:rFonts w:cstheme="minorHAnsi"/>
          <w:sz w:val="20"/>
          <w:szCs w:val="20"/>
        </w:rPr>
      </w:r>
      <w:r w:rsidR="006947C4">
        <w:rPr>
          <w:rFonts w:cstheme="minorHAnsi"/>
          <w:sz w:val="20"/>
          <w:szCs w:val="20"/>
        </w:rPr>
        <w:fldChar w:fldCharType="end"/>
      </w:r>
      <w:bookmarkEnd w:id="7"/>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A4269F">
        <w:rPr>
          <w:rFonts w:cstheme="minorHAnsi"/>
          <w:sz w:val="20"/>
          <w:szCs w:val="20"/>
        </w:rPr>
      </w:r>
      <w:r w:rsidR="00A4269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4D" w:rsidRDefault="0063254D">
      <w:pPr>
        <w:spacing w:after="0" w:line="240" w:lineRule="auto"/>
      </w:pPr>
      <w:r>
        <w:separator/>
      </w:r>
    </w:p>
  </w:endnote>
  <w:endnote w:type="continuationSeparator" w:id="0">
    <w:p w:rsidR="0063254D" w:rsidRDefault="0063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4D" w:rsidRPr="00C73841" w:rsidRDefault="0063254D">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D26BFF" w:rsidRPr="00D26BFF">
      <w:rPr>
        <w:rFonts w:asciiTheme="minorHAnsi" w:eastAsiaTheme="majorEastAsia" w:hAnsiTheme="minorHAnsi" w:cstheme="minorHAnsi"/>
        <w:noProof/>
        <w:sz w:val="18"/>
        <w:szCs w:val="18"/>
      </w:rPr>
      <w:t>4</w:t>
    </w:r>
    <w:r w:rsidRPr="00C73841">
      <w:rPr>
        <w:rFonts w:asciiTheme="minorHAnsi" w:eastAsiaTheme="majorEastAsia" w:hAnsiTheme="minorHAnsi" w:cstheme="minorHAnsi"/>
        <w:noProof/>
        <w:sz w:val="18"/>
        <w:szCs w:val="18"/>
      </w:rPr>
      <w:fldChar w:fldCharType="end"/>
    </w:r>
  </w:p>
  <w:p w:rsidR="0063254D" w:rsidRDefault="00632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4D" w:rsidRDefault="0063254D">
      <w:pPr>
        <w:spacing w:after="0" w:line="240" w:lineRule="auto"/>
      </w:pPr>
      <w:r>
        <w:separator/>
      </w:r>
    </w:p>
  </w:footnote>
  <w:footnote w:type="continuationSeparator" w:id="0">
    <w:p w:rsidR="0063254D" w:rsidRDefault="00632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3DD26E1"/>
    <w:multiLevelType w:val="hybridMultilevel"/>
    <w:tmpl w:val="7EEA3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32469"/>
    <w:multiLevelType w:val="hybridMultilevel"/>
    <w:tmpl w:val="26BE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10C11"/>
    <w:multiLevelType w:val="hybridMultilevel"/>
    <w:tmpl w:val="5342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87632"/>
    <w:multiLevelType w:val="hybridMultilevel"/>
    <w:tmpl w:val="8CDEB4D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542DB"/>
    <w:multiLevelType w:val="hybridMultilevel"/>
    <w:tmpl w:val="8CDEB4D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A4FDC"/>
    <w:multiLevelType w:val="hybridMultilevel"/>
    <w:tmpl w:val="D4A0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26"/>
  </w:num>
  <w:num w:numId="5">
    <w:abstractNumId w:val="8"/>
  </w:num>
  <w:num w:numId="6">
    <w:abstractNumId w:val="21"/>
  </w:num>
  <w:num w:numId="7">
    <w:abstractNumId w:val="15"/>
  </w:num>
  <w:num w:numId="8">
    <w:abstractNumId w:val="18"/>
  </w:num>
  <w:num w:numId="9">
    <w:abstractNumId w:val="22"/>
  </w:num>
  <w:num w:numId="10">
    <w:abstractNumId w:val="17"/>
  </w:num>
  <w:num w:numId="11">
    <w:abstractNumId w:val="9"/>
  </w:num>
  <w:num w:numId="12">
    <w:abstractNumId w:val="24"/>
  </w:num>
  <w:num w:numId="13">
    <w:abstractNumId w:val="23"/>
  </w:num>
  <w:num w:numId="14">
    <w:abstractNumId w:val="0"/>
  </w:num>
  <w:num w:numId="15">
    <w:abstractNumId w:val="6"/>
  </w:num>
  <w:num w:numId="16">
    <w:abstractNumId w:val="16"/>
  </w:num>
  <w:num w:numId="17">
    <w:abstractNumId w:val="13"/>
  </w:num>
  <w:num w:numId="18">
    <w:abstractNumId w:val="7"/>
  </w:num>
  <w:num w:numId="19">
    <w:abstractNumId w:val="25"/>
  </w:num>
  <w:num w:numId="20">
    <w:abstractNumId w:val="20"/>
  </w:num>
  <w:num w:numId="21">
    <w:abstractNumId w:val="1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1"/>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50B75"/>
    <w:rsid w:val="00067B5E"/>
    <w:rsid w:val="00075DAB"/>
    <w:rsid w:val="000C57A1"/>
    <w:rsid w:val="000F3AA2"/>
    <w:rsid w:val="000F6AB6"/>
    <w:rsid w:val="00102476"/>
    <w:rsid w:val="00113E76"/>
    <w:rsid w:val="00160600"/>
    <w:rsid w:val="001B247D"/>
    <w:rsid w:val="00222F77"/>
    <w:rsid w:val="00242DCD"/>
    <w:rsid w:val="002D7005"/>
    <w:rsid w:val="00307EF1"/>
    <w:rsid w:val="003D27D1"/>
    <w:rsid w:val="003E6D1F"/>
    <w:rsid w:val="004055E2"/>
    <w:rsid w:val="004145C8"/>
    <w:rsid w:val="00426EA2"/>
    <w:rsid w:val="004664B0"/>
    <w:rsid w:val="00494FE6"/>
    <w:rsid w:val="004A6B61"/>
    <w:rsid w:val="004D79EE"/>
    <w:rsid w:val="004D7FFA"/>
    <w:rsid w:val="00507C0C"/>
    <w:rsid w:val="005209BA"/>
    <w:rsid w:val="00520C6E"/>
    <w:rsid w:val="005620FD"/>
    <w:rsid w:val="00572188"/>
    <w:rsid w:val="005744EB"/>
    <w:rsid w:val="0059381F"/>
    <w:rsid w:val="005B1ECE"/>
    <w:rsid w:val="005E583A"/>
    <w:rsid w:val="0060746E"/>
    <w:rsid w:val="0063254D"/>
    <w:rsid w:val="006340FF"/>
    <w:rsid w:val="0063650E"/>
    <w:rsid w:val="00670745"/>
    <w:rsid w:val="006947C4"/>
    <w:rsid w:val="006A7208"/>
    <w:rsid w:val="006A796C"/>
    <w:rsid w:val="006B7BBF"/>
    <w:rsid w:val="007A3CDB"/>
    <w:rsid w:val="00850DCD"/>
    <w:rsid w:val="0087586F"/>
    <w:rsid w:val="008766DA"/>
    <w:rsid w:val="008941C1"/>
    <w:rsid w:val="008B60D9"/>
    <w:rsid w:val="00966171"/>
    <w:rsid w:val="00996020"/>
    <w:rsid w:val="009A47DB"/>
    <w:rsid w:val="009D6D50"/>
    <w:rsid w:val="00A06FD9"/>
    <w:rsid w:val="00A07CDD"/>
    <w:rsid w:val="00A27FA1"/>
    <w:rsid w:val="00A4269F"/>
    <w:rsid w:val="00A6058F"/>
    <w:rsid w:val="00A70D85"/>
    <w:rsid w:val="00A9273F"/>
    <w:rsid w:val="00AE05CC"/>
    <w:rsid w:val="00AE06EB"/>
    <w:rsid w:val="00B2405F"/>
    <w:rsid w:val="00B4368E"/>
    <w:rsid w:val="00B574C3"/>
    <w:rsid w:val="00B7484A"/>
    <w:rsid w:val="00B85C90"/>
    <w:rsid w:val="00B93A68"/>
    <w:rsid w:val="00B949F8"/>
    <w:rsid w:val="00BD4AB8"/>
    <w:rsid w:val="00BF0F11"/>
    <w:rsid w:val="00C633AF"/>
    <w:rsid w:val="00C92012"/>
    <w:rsid w:val="00C952BB"/>
    <w:rsid w:val="00CA5D66"/>
    <w:rsid w:val="00CC5658"/>
    <w:rsid w:val="00CD0C36"/>
    <w:rsid w:val="00CF3D41"/>
    <w:rsid w:val="00CF5417"/>
    <w:rsid w:val="00D0281C"/>
    <w:rsid w:val="00D062FE"/>
    <w:rsid w:val="00D26BFF"/>
    <w:rsid w:val="00D90959"/>
    <w:rsid w:val="00D96886"/>
    <w:rsid w:val="00DA0A51"/>
    <w:rsid w:val="00DA1872"/>
    <w:rsid w:val="00E04250"/>
    <w:rsid w:val="00E14C31"/>
    <w:rsid w:val="00E44195"/>
    <w:rsid w:val="00E96079"/>
    <w:rsid w:val="00EB76C9"/>
    <w:rsid w:val="00EC1457"/>
    <w:rsid w:val="00F42E95"/>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8941C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8941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3AE2C-8B2A-40D8-8050-E63F9A176635}">
  <ds:schemaRefs>
    <ds:schemaRef ds:uri="http://schemas.openxmlformats.org/officeDocument/2006/bibliography"/>
  </ds:schemaRefs>
</ds:datastoreItem>
</file>

<file path=customXml/itemProps2.xml><?xml version="1.0" encoding="utf-8"?>
<ds:datastoreItem xmlns:ds="http://schemas.openxmlformats.org/officeDocument/2006/customXml" ds:itemID="{4BDB7DC5-4718-4BA2-8DC0-3DE07E368762}"/>
</file>

<file path=customXml/itemProps3.xml><?xml version="1.0" encoding="utf-8"?>
<ds:datastoreItem xmlns:ds="http://schemas.openxmlformats.org/officeDocument/2006/customXml" ds:itemID="{6075EE5D-74C3-405F-8AA1-F3E330DFCAE4}"/>
</file>

<file path=customXml/itemProps4.xml><?xml version="1.0" encoding="utf-8"?>
<ds:datastoreItem xmlns:ds="http://schemas.openxmlformats.org/officeDocument/2006/customXml" ds:itemID="{6CC1B2AE-AB96-492F-A6E3-B06BE06E972F}"/>
</file>

<file path=docProps/app.xml><?xml version="1.0" encoding="utf-8"?>
<Properties xmlns="http://schemas.openxmlformats.org/officeDocument/2006/extended-properties" xmlns:vt="http://schemas.openxmlformats.org/officeDocument/2006/docPropsVTypes">
  <Template>Normal</Template>
  <TotalTime>57</TotalTime>
  <Pages>5</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Manny</cp:lastModifiedBy>
  <cp:revision>6</cp:revision>
  <cp:lastPrinted>2014-05-01T20:00:00Z</cp:lastPrinted>
  <dcterms:created xsi:type="dcterms:W3CDTF">2015-09-17T19:06:00Z</dcterms:created>
  <dcterms:modified xsi:type="dcterms:W3CDTF">2015-09-17T20:06:00Z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