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DE70A4">
        <w:t xml:space="preserve">Career and Technical Education </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E455A7">
        <w:rPr>
          <w:rFonts w:cstheme="minorHAnsi"/>
        </w:rPr>
      </w:r>
      <w:r w:rsidR="00E455A7">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455A7">
        <w:rPr>
          <w:rFonts w:cstheme="minorHAnsi"/>
        </w:rPr>
      </w:r>
      <w:r w:rsidR="00E455A7">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D6371B">
        <w:rPr>
          <w:rFonts w:cstheme="minorHAnsi"/>
        </w:rPr>
        <w:fldChar w:fldCharType="begin">
          <w:ffData>
            <w:name w:val=""/>
            <w:enabled/>
            <w:calcOnExit w:val="0"/>
            <w:checkBox>
              <w:sizeAuto/>
              <w:default w:val="1"/>
            </w:checkBox>
          </w:ffData>
        </w:fldChar>
      </w:r>
      <w:r w:rsidR="00D6371B">
        <w:rPr>
          <w:rFonts w:cstheme="minorHAnsi"/>
        </w:rPr>
        <w:instrText xml:space="preserve"> FORMCHECKBOX </w:instrText>
      </w:r>
      <w:r w:rsidR="00E455A7">
        <w:rPr>
          <w:rFonts w:cstheme="minorHAnsi"/>
        </w:rPr>
      </w:r>
      <w:r w:rsidR="00E455A7">
        <w:rPr>
          <w:rFonts w:cstheme="minorHAnsi"/>
        </w:rPr>
        <w:fldChar w:fldCharType="separate"/>
      </w:r>
      <w:r w:rsidR="00D6371B">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Pr="00D6371B" w:rsidRDefault="00CC5658" w:rsidP="00D6371B">
      <w:pPr>
        <w:autoSpaceDE w:val="0"/>
        <w:autoSpaceDN w:val="0"/>
        <w:adjustRightInd w:val="0"/>
        <w:spacing w:after="0" w:line="240" w:lineRule="auto"/>
        <w:rPr>
          <w:rFonts w:eastAsiaTheme="minorHAnsi" w:cs="Calibri"/>
        </w:rPr>
      </w:pPr>
      <w:r w:rsidRPr="00E04250">
        <w:t xml:space="preserve">Describe how </w:t>
      </w:r>
      <w:r w:rsidR="00FD03FF" w:rsidRPr="00E04250">
        <w:t>the</w:t>
      </w:r>
      <w:r w:rsidRPr="00E04250">
        <w:t xml:space="preserve"> program supports the Bakersfield College Mission: </w:t>
      </w:r>
      <w:r w:rsidR="00D6371B">
        <w:t xml:space="preserve"> </w:t>
      </w:r>
      <w:r w:rsidR="00D6371B">
        <w:rPr>
          <w:rFonts w:eastAsiaTheme="minorHAnsi" w:cs="Calibri"/>
        </w:rPr>
        <w:t>With a focus on the Institutional Learning Outcomes, the Department supports all aspects of Career and Technical Education so that students, faculty and staff can carry out the mission of the College with greater efficiency and flexibility.</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81116B" w:rsidRDefault="0081116B" w:rsidP="00E04250">
      <w:pPr>
        <w:spacing w:after="0" w:line="240" w:lineRule="auto"/>
      </w:pPr>
    </w:p>
    <w:p w:rsidR="0081116B" w:rsidRPr="0081116B" w:rsidRDefault="0081116B" w:rsidP="0081116B">
      <w:pPr>
        <w:autoSpaceDE w:val="0"/>
        <w:autoSpaceDN w:val="0"/>
        <w:adjustRightInd w:val="0"/>
        <w:spacing w:after="0" w:line="240" w:lineRule="auto"/>
        <w:rPr>
          <w:rFonts w:eastAsiaTheme="minorHAnsi" w:cs="Calibri"/>
        </w:rPr>
      </w:pPr>
      <w:r w:rsidRPr="00D6371B">
        <w:rPr>
          <w:rFonts w:eastAsiaTheme="minorHAnsi" w:cs="Calibri"/>
        </w:rPr>
        <w:t xml:space="preserve">The </w:t>
      </w:r>
      <w:r>
        <w:rPr>
          <w:rFonts w:eastAsiaTheme="minorHAnsi" w:cs="Calibri"/>
        </w:rPr>
        <w:t xml:space="preserve">mission </w:t>
      </w:r>
      <w:r w:rsidRPr="00D6371B">
        <w:rPr>
          <w:rFonts w:eastAsiaTheme="minorHAnsi" w:cs="Calibri"/>
        </w:rPr>
        <w:t>of the Career and Technical Education (CTE) Department is to provide</w:t>
      </w:r>
      <w:r w:rsidR="00BB3589">
        <w:rPr>
          <w:rFonts w:eastAsiaTheme="minorHAnsi" w:cs="Calibri"/>
        </w:rPr>
        <w:t xml:space="preserve"> educational</w:t>
      </w:r>
      <w:r w:rsidRPr="00D6371B">
        <w:rPr>
          <w:rFonts w:eastAsiaTheme="minorHAnsi" w:cs="Calibri"/>
        </w:rPr>
        <w:t xml:space="preserve"> leadership, service and connections to prepare </w:t>
      </w:r>
      <w:r w:rsidR="00BB3589">
        <w:rPr>
          <w:rFonts w:eastAsiaTheme="minorHAnsi" w:cs="Calibri"/>
        </w:rPr>
        <w:t xml:space="preserve">individuals for a wide range of </w:t>
      </w:r>
      <w:r w:rsidRPr="00D6371B">
        <w:rPr>
          <w:rFonts w:eastAsiaTheme="minorHAnsi" w:cs="Calibri"/>
        </w:rPr>
        <w:t xml:space="preserve">careers in an increasingly competitive job market. With a focus on </w:t>
      </w:r>
      <w:r>
        <w:rPr>
          <w:rFonts w:eastAsiaTheme="minorHAnsi" w:cs="Calibri"/>
        </w:rPr>
        <w:t>workforce development, we will align our processes with</w:t>
      </w:r>
      <w:r w:rsidR="00BB3589">
        <w:rPr>
          <w:rFonts w:eastAsiaTheme="minorHAnsi" w:cs="Calibri"/>
        </w:rPr>
        <w:t xml:space="preserve"> the 25</w:t>
      </w:r>
      <w:r>
        <w:rPr>
          <w:rFonts w:eastAsiaTheme="minorHAnsi" w:cs="Calibri"/>
        </w:rPr>
        <w:t xml:space="preserve"> Strong </w:t>
      </w:r>
      <w:r w:rsidR="00BB3589">
        <w:rPr>
          <w:rFonts w:eastAsiaTheme="minorHAnsi" w:cs="Calibri"/>
        </w:rPr>
        <w:t>Workforce Task Force recommendations and the Workforce Innovation and Opportunity Act (WIOA) Regulations.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D6371B" w:rsidRDefault="0060746E" w:rsidP="00D6371B">
      <w:pPr>
        <w:spacing w:after="0" w:line="240" w:lineRule="auto"/>
        <w:rPr>
          <w:rFonts w:cstheme="minorHAnsi"/>
        </w:rPr>
      </w:pPr>
      <w:r w:rsidRPr="00D6371B">
        <w:rPr>
          <w:rFonts w:cstheme="minorHAnsi"/>
        </w:rPr>
        <w:t>List the program’s current goals.  For each goal (minimum of 2 goals), discuss progress and changes.</w:t>
      </w:r>
      <w:r w:rsidRPr="00D6371B">
        <w:rPr>
          <w:rFonts w:asciiTheme="minorHAnsi" w:hAnsiTheme="minorHAnsi"/>
        </w:rPr>
        <w:t xml:space="preserve"> If the program is addressing more than two (2) goals, please duplicate this section.</w:t>
      </w:r>
    </w:p>
    <w:p w:rsidR="000C08F3" w:rsidRPr="00BB3589" w:rsidRDefault="000C08F3" w:rsidP="00BB3589">
      <w:pPr>
        <w:spacing w:after="0" w:line="240" w:lineRule="auto"/>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71B" w:rsidRDefault="0060746E" w:rsidP="00D6371B">
            <w:pPr>
              <w:autoSpaceDE w:val="0"/>
              <w:autoSpaceDN w:val="0"/>
              <w:adjustRightInd w:val="0"/>
              <w:spacing w:after="0" w:line="240" w:lineRule="auto"/>
              <w:rPr>
                <w:rFonts w:eastAsiaTheme="minorHAnsi" w:cs="Calibri"/>
                <w:sz w:val="20"/>
                <w:szCs w:val="20"/>
              </w:rPr>
            </w:pPr>
            <w:r w:rsidRPr="00E04250">
              <w:rPr>
                <w:rFonts w:eastAsiaTheme="minorHAnsi"/>
                <w:color w:val="000000"/>
                <w:sz w:val="24"/>
                <w:szCs w:val="24"/>
              </w:rPr>
              <w:t>1.</w:t>
            </w:r>
            <w:r w:rsidR="00D6371B">
              <w:rPr>
                <w:rFonts w:eastAsiaTheme="minorHAnsi" w:cs="Calibri"/>
                <w:sz w:val="20"/>
                <w:szCs w:val="20"/>
              </w:rPr>
              <w:t xml:space="preserve"> Expand our partnerships with</w:t>
            </w:r>
          </w:p>
          <w:p w:rsidR="00D6371B" w:rsidRDefault="00D6371B" w:rsidP="00D6371B">
            <w:pPr>
              <w:autoSpaceDE w:val="0"/>
              <w:autoSpaceDN w:val="0"/>
              <w:adjustRightInd w:val="0"/>
              <w:spacing w:after="0" w:line="240" w:lineRule="auto"/>
              <w:rPr>
                <w:rFonts w:eastAsiaTheme="minorHAnsi" w:cs="Calibri"/>
                <w:sz w:val="20"/>
                <w:szCs w:val="20"/>
              </w:rPr>
            </w:pPr>
            <w:r>
              <w:rPr>
                <w:rFonts w:eastAsiaTheme="minorHAnsi" w:cs="Calibri"/>
                <w:sz w:val="20"/>
                <w:szCs w:val="20"/>
              </w:rPr>
              <w:t>feeder schools, community</w:t>
            </w:r>
          </w:p>
          <w:p w:rsidR="00D6371B" w:rsidRDefault="00D6371B" w:rsidP="00D6371B">
            <w:pPr>
              <w:autoSpaceDE w:val="0"/>
              <w:autoSpaceDN w:val="0"/>
              <w:adjustRightInd w:val="0"/>
              <w:spacing w:after="0" w:line="240" w:lineRule="auto"/>
              <w:rPr>
                <w:rFonts w:eastAsiaTheme="minorHAnsi" w:cs="Calibri"/>
                <w:sz w:val="20"/>
                <w:szCs w:val="20"/>
              </w:rPr>
            </w:pPr>
            <w:r>
              <w:rPr>
                <w:rFonts w:eastAsiaTheme="minorHAnsi" w:cs="Calibri"/>
                <w:sz w:val="20"/>
                <w:szCs w:val="20"/>
              </w:rPr>
              <w:t>organizations, companies, and</w:t>
            </w:r>
          </w:p>
          <w:p w:rsidR="0060746E" w:rsidRPr="00E04250" w:rsidRDefault="00D6371B" w:rsidP="00D6371B">
            <w:pPr>
              <w:spacing w:after="0" w:line="240" w:lineRule="auto"/>
              <w:rPr>
                <w:rFonts w:eastAsiaTheme="minorHAnsi"/>
                <w:color w:val="000000"/>
                <w:sz w:val="24"/>
                <w:szCs w:val="24"/>
              </w:rPr>
            </w:pPr>
            <w:r>
              <w:rPr>
                <w:rFonts w:eastAsiaTheme="minorHAnsi" w:cs="Calibri"/>
                <w:sz w:val="20"/>
                <w:szCs w:val="20"/>
              </w:rPr>
              <w:t>local businesses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D6371B"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bookmarkEnd w:id="2"/>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D6371B"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bookmarkEnd w:id="3"/>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D6371B" w:rsidP="00E04250">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bookmarkEnd w:id="4"/>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D6371B"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E455A7">
              <w:rPr>
                <w:b/>
                <w:sz w:val="20"/>
                <w:szCs w:val="20"/>
                <w:u w:val="single"/>
              </w:rPr>
            </w:r>
            <w:r w:rsidR="00E455A7">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1B2EC8" w:rsidRDefault="001B2EC8" w:rsidP="00E04250">
            <w:pPr>
              <w:spacing w:after="0" w:line="240" w:lineRule="auto"/>
              <w:rPr>
                <w:rFonts w:eastAsiaTheme="minorHAnsi"/>
                <w:color w:val="000000"/>
                <w:sz w:val="24"/>
                <w:szCs w:val="24"/>
              </w:rPr>
            </w:pPr>
            <w:r>
              <w:rPr>
                <w:rFonts w:eastAsiaTheme="minorHAnsi"/>
                <w:color w:val="000000"/>
                <w:sz w:val="24"/>
                <w:szCs w:val="24"/>
              </w:rPr>
              <w:t>For the 2015-16 year we received a small grant to purchase marketing materials and student giveaways</w:t>
            </w:r>
            <w:r w:rsidR="00C9179D">
              <w:rPr>
                <w:rFonts w:eastAsiaTheme="minorHAnsi"/>
                <w:color w:val="000000"/>
                <w:sz w:val="24"/>
                <w:szCs w:val="24"/>
              </w:rPr>
              <w:t xml:space="preserve"> used for outreach</w:t>
            </w:r>
            <w:r>
              <w:rPr>
                <w:rFonts w:eastAsiaTheme="minorHAnsi"/>
                <w:color w:val="000000"/>
                <w:sz w:val="24"/>
                <w:szCs w:val="24"/>
              </w:rPr>
              <w:t xml:space="preserve">.  We also established marketing materials for our Internship Program which included student/staff flyers and folders.  </w:t>
            </w:r>
          </w:p>
          <w:p w:rsidR="001B2EC8" w:rsidRDefault="001B2EC8" w:rsidP="00E04250">
            <w:pPr>
              <w:spacing w:after="0" w:line="240" w:lineRule="auto"/>
              <w:rPr>
                <w:rFonts w:eastAsiaTheme="minorHAnsi"/>
                <w:color w:val="000000"/>
                <w:sz w:val="24"/>
                <w:szCs w:val="24"/>
              </w:rPr>
            </w:pPr>
          </w:p>
          <w:p w:rsidR="0060746E" w:rsidRDefault="001B2EC8" w:rsidP="00E04250">
            <w:pPr>
              <w:spacing w:after="0" w:line="240" w:lineRule="auto"/>
              <w:rPr>
                <w:rFonts w:eastAsiaTheme="minorHAnsi"/>
                <w:color w:val="000000"/>
                <w:sz w:val="24"/>
                <w:szCs w:val="24"/>
              </w:rPr>
            </w:pPr>
            <w:r>
              <w:rPr>
                <w:rFonts w:eastAsiaTheme="minorHAnsi"/>
                <w:color w:val="000000"/>
                <w:sz w:val="24"/>
                <w:szCs w:val="24"/>
              </w:rPr>
              <w:t>We have continued to partner with outreach to participate in student events.</w:t>
            </w:r>
            <w:r w:rsidR="00C9179D">
              <w:rPr>
                <w:rFonts w:eastAsiaTheme="minorHAnsi"/>
                <w:color w:val="000000"/>
                <w:sz w:val="24"/>
                <w:szCs w:val="24"/>
              </w:rPr>
              <w:t xml:space="preserve">  We have also been receiving requests to provide CTE specific presentation at high schools in the district.  We have attended four CTE specific outreach events and hope to bring that amount up by double this coming academic year,</w:t>
            </w:r>
          </w:p>
          <w:p w:rsidR="001B2EC8" w:rsidRDefault="001B2EC8" w:rsidP="00E04250">
            <w:pPr>
              <w:spacing w:after="0" w:line="240" w:lineRule="auto"/>
              <w:rPr>
                <w:rFonts w:eastAsiaTheme="minorHAnsi"/>
                <w:color w:val="000000"/>
                <w:sz w:val="24"/>
                <w:szCs w:val="24"/>
              </w:rPr>
            </w:pPr>
          </w:p>
          <w:p w:rsidR="001B2EC8" w:rsidRDefault="001B2EC8" w:rsidP="00E04250">
            <w:pPr>
              <w:spacing w:after="0" w:line="240" w:lineRule="auto"/>
              <w:rPr>
                <w:rFonts w:eastAsiaTheme="minorHAnsi"/>
                <w:color w:val="000000"/>
                <w:sz w:val="24"/>
                <w:szCs w:val="24"/>
              </w:rPr>
            </w:pPr>
            <w:r>
              <w:rPr>
                <w:rFonts w:eastAsiaTheme="minorHAnsi"/>
                <w:color w:val="000000"/>
                <w:sz w:val="24"/>
                <w:szCs w:val="24"/>
              </w:rPr>
              <w:t>We worked with local businesses to establish a partnership with the automotive department to secure five new internship sites which were utilized for placement beginning Summer of 2016.</w:t>
            </w:r>
            <w:r w:rsidR="00C9179D">
              <w:rPr>
                <w:rFonts w:eastAsiaTheme="minorHAnsi"/>
                <w:color w:val="000000"/>
                <w:sz w:val="24"/>
                <w:szCs w:val="24"/>
              </w:rPr>
              <w:t xml:space="preserve">  We will continue to build partnerships with the automotive department for future placements.</w:t>
            </w:r>
          </w:p>
          <w:p w:rsidR="001B2EC8" w:rsidRDefault="001B2EC8" w:rsidP="00E04250">
            <w:pPr>
              <w:spacing w:after="0" w:line="240" w:lineRule="auto"/>
              <w:rPr>
                <w:rFonts w:eastAsiaTheme="minorHAnsi"/>
                <w:color w:val="000000"/>
                <w:sz w:val="24"/>
                <w:szCs w:val="24"/>
              </w:rPr>
            </w:pPr>
          </w:p>
          <w:p w:rsidR="001B2EC8" w:rsidRPr="00E04250" w:rsidRDefault="001B2EC8" w:rsidP="00E04250">
            <w:pPr>
              <w:spacing w:after="0" w:line="240" w:lineRule="auto"/>
              <w:rPr>
                <w:rFonts w:eastAsiaTheme="minorHAnsi"/>
                <w:color w:val="000000"/>
                <w:sz w:val="24"/>
                <w:szCs w:val="24"/>
              </w:rPr>
            </w:pPr>
            <w:r>
              <w:rPr>
                <w:rFonts w:eastAsiaTheme="minorHAnsi"/>
                <w:color w:val="000000"/>
                <w:sz w:val="24"/>
                <w:szCs w:val="24"/>
              </w:rPr>
              <w:t>Continuing to establish dates to offer job readiness workshops on various topics related to career building.</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71B" w:rsidRDefault="006A796C" w:rsidP="00D6371B">
            <w:pPr>
              <w:autoSpaceDE w:val="0"/>
              <w:autoSpaceDN w:val="0"/>
              <w:adjustRightInd w:val="0"/>
              <w:spacing w:after="0" w:line="240" w:lineRule="auto"/>
              <w:rPr>
                <w:rFonts w:eastAsiaTheme="minorHAnsi" w:cs="Calibri"/>
                <w:sz w:val="20"/>
                <w:szCs w:val="20"/>
              </w:rPr>
            </w:pPr>
            <w:r w:rsidRPr="00E04250">
              <w:rPr>
                <w:rFonts w:eastAsiaTheme="minorHAnsi"/>
                <w:color w:val="000000"/>
                <w:sz w:val="24"/>
                <w:szCs w:val="24"/>
              </w:rPr>
              <w:lastRenderedPageBreak/>
              <w:t>2.</w:t>
            </w:r>
            <w:r w:rsidR="00D6371B">
              <w:rPr>
                <w:rFonts w:eastAsiaTheme="minorHAnsi" w:cs="Calibri"/>
                <w:sz w:val="20"/>
                <w:szCs w:val="20"/>
              </w:rPr>
              <w:t xml:space="preserve"> Ensure VTEA spending is</w:t>
            </w:r>
          </w:p>
          <w:p w:rsidR="00D6371B" w:rsidRDefault="00D6371B" w:rsidP="00D6371B">
            <w:pPr>
              <w:autoSpaceDE w:val="0"/>
              <w:autoSpaceDN w:val="0"/>
              <w:adjustRightInd w:val="0"/>
              <w:spacing w:after="0" w:line="240" w:lineRule="auto"/>
              <w:rPr>
                <w:rFonts w:eastAsiaTheme="minorHAnsi" w:cs="Calibri"/>
                <w:sz w:val="20"/>
                <w:szCs w:val="20"/>
              </w:rPr>
            </w:pPr>
            <w:r>
              <w:rPr>
                <w:rFonts w:eastAsiaTheme="minorHAnsi" w:cs="Calibri"/>
                <w:sz w:val="20"/>
                <w:szCs w:val="20"/>
              </w:rPr>
              <w:t>appropriate and meets all</w:t>
            </w:r>
          </w:p>
          <w:p w:rsidR="00D6371B" w:rsidRDefault="00D6371B" w:rsidP="00D6371B">
            <w:pPr>
              <w:autoSpaceDE w:val="0"/>
              <w:autoSpaceDN w:val="0"/>
              <w:adjustRightInd w:val="0"/>
              <w:spacing w:after="0" w:line="240" w:lineRule="auto"/>
              <w:rPr>
                <w:rFonts w:eastAsiaTheme="minorHAnsi" w:cs="Calibri"/>
                <w:sz w:val="20"/>
                <w:szCs w:val="20"/>
              </w:rPr>
            </w:pPr>
            <w:r>
              <w:rPr>
                <w:rFonts w:eastAsiaTheme="minorHAnsi" w:cs="Calibri"/>
                <w:sz w:val="20"/>
                <w:szCs w:val="20"/>
              </w:rPr>
              <w:t>federal, state and district</w:t>
            </w:r>
          </w:p>
          <w:p w:rsidR="006A796C" w:rsidRPr="00E04250" w:rsidRDefault="00D6371B" w:rsidP="00D6371B">
            <w:pPr>
              <w:spacing w:after="0" w:line="240" w:lineRule="auto"/>
              <w:rPr>
                <w:rFonts w:eastAsiaTheme="minorHAnsi"/>
                <w:color w:val="000000"/>
                <w:sz w:val="24"/>
                <w:szCs w:val="24"/>
              </w:rPr>
            </w:pPr>
            <w:r>
              <w:rPr>
                <w:rFonts w:eastAsiaTheme="minorHAnsi" w:cs="Calibri"/>
                <w:sz w:val="20"/>
                <w:szCs w:val="20"/>
              </w:rPr>
              <w:t>guidelines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D6371B"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D6371B"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E455A7">
              <w:rPr>
                <w:b/>
                <w:sz w:val="20"/>
                <w:szCs w:val="20"/>
                <w:u w:val="single"/>
              </w:rPr>
            </w:r>
            <w:r w:rsidR="00E455A7">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Default="00863C43" w:rsidP="00E04250">
            <w:pPr>
              <w:spacing w:after="0" w:line="240" w:lineRule="auto"/>
              <w:rPr>
                <w:rFonts w:eastAsiaTheme="minorHAnsi"/>
                <w:color w:val="000000"/>
                <w:sz w:val="24"/>
                <w:szCs w:val="24"/>
              </w:rPr>
            </w:pPr>
            <w:r>
              <w:rPr>
                <w:rFonts w:eastAsiaTheme="minorHAnsi"/>
                <w:color w:val="000000"/>
                <w:sz w:val="24"/>
                <w:szCs w:val="24"/>
              </w:rPr>
              <w:t>Systems to ensure spending, monitoring and compliance are constantly being revised to streamline and organize processes.</w:t>
            </w:r>
          </w:p>
          <w:p w:rsidR="00C3716D" w:rsidRDefault="00C3716D" w:rsidP="00E04250">
            <w:pPr>
              <w:spacing w:after="0" w:line="240" w:lineRule="auto"/>
              <w:rPr>
                <w:rFonts w:eastAsiaTheme="minorHAnsi"/>
                <w:color w:val="000000"/>
                <w:sz w:val="24"/>
                <w:szCs w:val="24"/>
              </w:rPr>
            </w:pPr>
          </w:p>
          <w:p w:rsidR="00C3716D" w:rsidRDefault="00C3716D" w:rsidP="00E04250">
            <w:pPr>
              <w:spacing w:after="0" w:line="240" w:lineRule="auto"/>
              <w:rPr>
                <w:rFonts w:eastAsiaTheme="minorHAnsi"/>
                <w:color w:val="000000"/>
                <w:sz w:val="24"/>
                <w:szCs w:val="24"/>
              </w:rPr>
            </w:pPr>
            <w:r>
              <w:rPr>
                <w:rFonts w:eastAsiaTheme="minorHAnsi"/>
                <w:color w:val="000000"/>
                <w:sz w:val="24"/>
                <w:szCs w:val="24"/>
              </w:rPr>
              <w:t xml:space="preserve">BC was awarded a CTE Enhancement Funds Local Share Grant in the amount of $304,790.  Those funds were 100% spent on equipment upgrades for the following programs: Agriculture Mechanics, Registered Nursing, </w:t>
            </w:r>
            <w:r>
              <w:rPr>
                <w:rFonts w:eastAsiaTheme="minorHAnsi"/>
                <w:color w:val="000000"/>
                <w:sz w:val="24"/>
                <w:szCs w:val="24"/>
              </w:rPr>
              <w:lastRenderedPageBreak/>
              <w:t>Manufacturing Technology, Welding Technology, and Digital Arts.  BC was also awarded a Regional Share Grant in the amount of $</w:t>
            </w:r>
            <w:r w:rsidR="0041608C">
              <w:rPr>
                <w:rFonts w:eastAsiaTheme="minorHAnsi"/>
                <w:color w:val="000000"/>
                <w:sz w:val="24"/>
                <w:szCs w:val="24"/>
              </w:rPr>
              <w:t>140,530 which is 99.5% spent.  With this funding we were able to completely remodel a computer lab classroom, provide furniture and new computer</w:t>
            </w:r>
            <w:r w:rsidR="00134454">
              <w:rPr>
                <w:rFonts w:eastAsiaTheme="minorHAnsi"/>
                <w:color w:val="000000"/>
                <w:sz w:val="24"/>
                <w:szCs w:val="24"/>
              </w:rPr>
              <w:t>s.  With these funds we also were</w:t>
            </w:r>
            <w:r w:rsidR="0041608C">
              <w:rPr>
                <w:rFonts w:eastAsiaTheme="minorHAnsi"/>
                <w:color w:val="000000"/>
                <w:sz w:val="24"/>
                <w:szCs w:val="24"/>
              </w:rPr>
              <w:t xml:space="preserve"> able to send a faculty member to two staff development opportunities.</w:t>
            </w:r>
          </w:p>
          <w:p w:rsidR="00863C43" w:rsidRDefault="00863C43" w:rsidP="00E04250">
            <w:pPr>
              <w:spacing w:after="0" w:line="240" w:lineRule="auto"/>
              <w:rPr>
                <w:rFonts w:eastAsiaTheme="minorHAnsi"/>
                <w:color w:val="000000"/>
                <w:sz w:val="24"/>
                <w:szCs w:val="24"/>
              </w:rPr>
            </w:pPr>
          </w:p>
          <w:p w:rsidR="00863C43" w:rsidRPr="00E04250" w:rsidRDefault="00863C43" w:rsidP="00E04250">
            <w:pPr>
              <w:spacing w:after="0" w:line="240" w:lineRule="auto"/>
              <w:rPr>
                <w:rFonts w:eastAsiaTheme="minorHAnsi"/>
                <w:color w:val="000000"/>
                <w:sz w:val="24"/>
                <w:szCs w:val="24"/>
              </w:rPr>
            </w:pPr>
            <w:r>
              <w:rPr>
                <w:rFonts w:eastAsiaTheme="minorHAnsi"/>
                <w:color w:val="000000"/>
                <w:sz w:val="24"/>
                <w:szCs w:val="24"/>
              </w:rPr>
              <w:t xml:space="preserve">Monthly meetings with CTE faculty are scheduled throughout the academic year to ensure faculty is trained on budget planning processes. </w:t>
            </w:r>
          </w:p>
        </w:tc>
      </w:tr>
      <w:tr w:rsidR="00863C43" w:rsidRPr="00E04250" w:rsidTr="00863C43">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olor w:val="000000"/>
                <w:sz w:val="24"/>
                <w:szCs w:val="24"/>
              </w:rPr>
              <w:lastRenderedPageBreak/>
              <w:t xml:space="preserve">3.  </w:t>
            </w:r>
            <w:r>
              <w:rPr>
                <w:rFonts w:eastAsiaTheme="minorHAnsi" w:cs="Calibri"/>
                <w:sz w:val="20"/>
                <w:szCs w:val="20"/>
              </w:rPr>
              <w:t>Ensure CTE Programs meets all</w:t>
            </w:r>
          </w:p>
          <w:p w:rsidR="00863C43" w:rsidRPr="00E04250" w:rsidRDefault="00863C43" w:rsidP="00863C43">
            <w:pPr>
              <w:autoSpaceDE w:val="0"/>
              <w:autoSpaceDN w:val="0"/>
              <w:adjustRightInd w:val="0"/>
              <w:spacing w:after="0" w:line="240" w:lineRule="auto"/>
              <w:rPr>
                <w:rFonts w:eastAsiaTheme="minorHAnsi"/>
                <w:color w:val="000000"/>
                <w:sz w:val="24"/>
                <w:szCs w:val="24"/>
              </w:rPr>
            </w:pPr>
            <w:r>
              <w:rPr>
                <w:rFonts w:eastAsiaTheme="minorHAnsi" w:cs="Calibri"/>
                <w:sz w:val="20"/>
                <w:szCs w:val="20"/>
              </w:rPr>
              <w:t>education code requirements</w:t>
            </w:r>
          </w:p>
          <w:p w:rsidR="00863C43" w:rsidRPr="00E04250" w:rsidRDefault="00863C43" w:rsidP="00863C43">
            <w:pPr>
              <w:autoSpaceDE w:val="0"/>
              <w:autoSpaceDN w:val="0"/>
              <w:adjustRightInd w:val="0"/>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1: Student Learning                             </w:t>
            </w:r>
          </w:p>
          <w:p w:rsidR="00863C43" w:rsidRPr="00E04250" w:rsidRDefault="00863C43" w:rsidP="00716A9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863C43" w:rsidRPr="00E04250" w:rsidRDefault="00863C43" w:rsidP="00716A9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3: Facilities                          </w:t>
            </w:r>
          </w:p>
          <w:p w:rsidR="00863C43" w:rsidRPr="00E04250"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4: Oversight and Accountability           </w:t>
            </w:r>
          </w:p>
          <w:p w:rsidR="00863C43" w:rsidRPr="00863C43"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5: Leadership and Engagement</w:t>
            </w:r>
            <w:r w:rsidRPr="00863C43">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863C43" w:rsidRPr="00E04250" w:rsidRDefault="00863C43" w:rsidP="00716A9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863C43" w:rsidRPr="00863C43" w:rsidRDefault="00863C43" w:rsidP="00716A94">
            <w:pPr>
              <w:pStyle w:val="NoSpacing"/>
              <w:rPr>
                <w:sz w:val="20"/>
                <w:szCs w:val="20"/>
              </w:rPr>
            </w:pPr>
            <w:r w:rsidRPr="00863C43">
              <w:rPr>
                <w:sz w:val="20"/>
                <w:szCs w:val="20"/>
              </w:rPr>
              <w:fldChar w:fldCharType="begin">
                <w:ffData>
                  <w:name w:val=""/>
                  <w:enabled/>
                  <w:calcOnExit w:val="0"/>
                  <w:checkBox>
                    <w:sizeAuto/>
                    <w:default w:val="1"/>
                  </w:checkBox>
                </w:ffData>
              </w:fldChar>
            </w:r>
            <w:r w:rsidRPr="00863C43">
              <w:rPr>
                <w:sz w:val="20"/>
                <w:szCs w:val="20"/>
              </w:rPr>
              <w:instrText xml:space="preserve"> FORMCHECKBOX </w:instrText>
            </w:r>
            <w:r w:rsidR="00E455A7">
              <w:rPr>
                <w:sz w:val="20"/>
                <w:szCs w:val="20"/>
              </w:rPr>
            </w:r>
            <w:r w:rsidR="00E455A7">
              <w:rPr>
                <w:sz w:val="20"/>
                <w:szCs w:val="20"/>
              </w:rPr>
              <w:fldChar w:fldCharType="separate"/>
            </w:r>
            <w:r w:rsidRPr="00863C43">
              <w:rPr>
                <w:sz w:val="20"/>
                <w:szCs w:val="20"/>
              </w:rPr>
              <w:fldChar w:fldCharType="end"/>
            </w:r>
            <w:r w:rsidRPr="00863C43">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1608C" w:rsidRDefault="00863C43" w:rsidP="00716A94">
            <w:pPr>
              <w:spacing w:after="0" w:line="240" w:lineRule="auto"/>
              <w:rPr>
                <w:rFonts w:eastAsiaTheme="minorHAnsi"/>
                <w:color w:val="000000"/>
                <w:sz w:val="24"/>
                <w:szCs w:val="24"/>
              </w:rPr>
            </w:pPr>
            <w:r>
              <w:rPr>
                <w:rFonts w:eastAsiaTheme="minorHAnsi"/>
                <w:color w:val="000000"/>
                <w:sz w:val="24"/>
                <w:szCs w:val="24"/>
              </w:rPr>
              <w:t xml:space="preserve"> </w:t>
            </w:r>
            <w:r w:rsidR="003F4378">
              <w:rPr>
                <w:rFonts w:eastAsiaTheme="minorHAnsi"/>
                <w:color w:val="000000"/>
                <w:sz w:val="24"/>
                <w:szCs w:val="24"/>
              </w:rPr>
              <w:t xml:space="preserve">Ongoing training is provided to faculty regarding the program review process.  </w:t>
            </w:r>
            <w:r w:rsidR="0041608C">
              <w:rPr>
                <w:rFonts w:eastAsiaTheme="minorHAnsi"/>
                <w:color w:val="000000"/>
                <w:sz w:val="24"/>
                <w:szCs w:val="24"/>
              </w:rPr>
              <w:t>This year we are able to include an additional form on the college annual review form so that the CTE Program Reviews are being updated simultaneously.  CTE 1 year Program Reviews are 100% up to date for all programs at this time.</w:t>
            </w:r>
          </w:p>
          <w:p w:rsidR="0041608C" w:rsidRDefault="0041608C" w:rsidP="00716A94">
            <w:pPr>
              <w:spacing w:after="0" w:line="240" w:lineRule="auto"/>
              <w:rPr>
                <w:rFonts w:eastAsiaTheme="minorHAnsi"/>
                <w:color w:val="000000"/>
                <w:sz w:val="24"/>
                <w:szCs w:val="24"/>
              </w:rPr>
            </w:pPr>
          </w:p>
          <w:p w:rsidR="00863C43" w:rsidRPr="00E04250" w:rsidRDefault="003F4378" w:rsidP="00716A94">
            <w:pPr>
              <w:spacing w:after="0" w:line="240" w:lineRule="auto"/>
              <w:rPr>
                <w:rFonts w:eastAsiaTheme="minorHAnsi"/>
                <w:color w:val="000000"/>
                <w:sz w:val="24"/>
                <w:szCs w:val="24"/>
              </w:rPr>
            </w:pPr>
            <w:r>
              <w:rPr>
                <w:rFonts w:eastAsiaTheme="minorHAnsi"/>
                <w:color w:val="000000"/>
                <w:sz w:val="24"/>
                <w:szCs w:val="24"/>
              </w:rPr>
              <w:t>Ongoing Labor Market Information (LMI) training is also available through EMSI who provides LMI information through software we purchase.</w:t>
            </w:r>
          </w:p>
        </w:tc>
      </w:tr>
      <w:tr w:rsidR="00863C43" w:rsidRPr="00E04250" w:rsidTr="00716A9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olor w:val="000000"/>
                <w:sz w:val="24"/>
                <w:szCs w:val="24"/>
              </w:rPr>
              <w:t>4</w:t>
            </w:r>
            <w:r w:rsidRPr="00E04250">
              <w:rPr>
                <w:rFonts w:eastAsiaTheme="minorHAnsi"/>
                <w:color w:val="000000"/>
                <w:sz w:val="24"/>
                <w:szCs w:val="24"/>
              </w:rPr>
              <w:t>.</w:t>
            </w:r>
            <w:r>
              <w:rPr>
                <w:rFonts w:eastAsiaTheme="minorHAnsi" w:cs="Calibri"/>
                <w:sz w:val="20"/>
                <w:szCs w:val="20"/>
              </w:rPr>
              <w:t xml:space="preserve"> Complete and sustain</w:t>
            </w:r>
          </w:p>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s="Calibri"/>
                <w:sz w:val="20"/>
                <w:szCs w:val="20"/>
              </w:rPr>
              <w:t>articulation process with feeder</w:t>
            </w:r>
          </w:p>
          <w:p w:rsidR="00863C43" w:rsidRPr="00E04250" w:rsidRDefault="00863C43" w:rsidP="00863C43">
            <w:pPr>
              <w:autoSpaceDE w:val="0"/>
              <w:autoSpaceDN w:val="0"/>
              <w:adjustRightInd w:val="0"/>
              <w:spacing w:after="0" w:line="240" w:lineRule="auto"/>
              <w:rPr>
                <w:rFonts w:eastAsiaTheme="minorHAnsi"/>
                <w:color w:val="000000"/>
                <w:sz w:val="24"/>
                <w:szCs w:val="24"/>
              </w:rPr>
            </w:pPr>
            <w:r>
              <w:rPr>
                <w:rFonts w:eastAsiaTheme="minorHAnsi" w:cs="Calibri"/>
                <w:sz w:val="20"/>
                <w:szCs w:val="20"/>
              </w:rPr>
              <w:t>high schools</w:t>
            </w:r>
          </w:p>
          <w:p w:rsidR="00863C43" w:rsidRPr="00E04250" w:rsidRDefault="00863C43" w:rsidP="00716A94">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6" w:name="Check1"/>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bookmarkEnd w:id="6"/>
            <w:r w:rsidRPr="00E04250">
              <w:rPr>
                <w:sz w:val="20"/>
                <w:szCs w:val="20"/>
              </w:rPr>
              <w:t xml:space="preserve"> 1: Student Learning                             </w:t>
            </w:r>
          </w:p>
          <w:p w:rsidR="00863C43" w:rsidRPr="00E04250"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2: Student Progression and Completion              </w:t>
            </w:r>
          </w:p>
          <w:p w:rsidR="00863C43" w:rsidRPr="00E04250" w:rsidRDefault="00863C43" w:rsidP="00716A9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3: Facilities                          </w:t>
            </w:r>
          </w:p>
          <w:p w:rsidR="00863C43" w:rsidRPr="00E04250"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4: Oversight and Accountability           </w:t>
            </w:r>
          </w:p>
          <w:p w:rsidR="00863C43" w:rsidRPr="00E04250" w:rsidRDefault="00863C43" w:rsidP="00716A94">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863C43" w:rsidRPr="00E04250" w:rsidRDefault="00863C43" w:rsidP="00716A9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863C43" w:rsidRPr="00E04250" w:rsidRDefault="00863C43" w:rsidP="00716A94">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E455A7">
              <w:rPr>
                <w:b/>
                <w:sz w:val="20"/>
                <w:szCs w:val="20"/>
                <w:u w:val="single"/>
              </w:rPr>
            </w:r>
            <w:r w:rsidR="00E455A7">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863C43" w:rsidRDefault="00D2239A" w:rsidP="00716A94">
            <w:pPr>
              <w:spacing w:after="0" w:line="240" w:lineRule="auto"/>
              <w:rPr>
                <w:rFonts w:eastAsiaTheme="minorHAnsi"/>
                <w:color w:val="000000"/>
                <w:sz w:val="24"/>
                <w:szCs w:val="24"/>
              </w:rPr>
            </w:pPr>
            <w:r>
              <w:rPr>
                <w:rFonts w:eastAsiaTheme="minorHAnsi"/>
                <w:color w:val="000000"/>
                <w:sz w:val="24"/>
                <w:szCs w:val="24"/>
              </w:rPr>
              <w:t xml:space="preserve">Articulation is an ongoing process. </w:t>
            </w:r>
            <w:r w:rsidR="00A75471">
              <w:rPr>
                <w:rFonts w:eastAsiaTheme="minorHAnsi"/>
                <w:color w:val="000000"/>
                <w:sz w:val="24"/>
                <w:szCs w:val="24"/>
              </w:rPr>
              <w:t>Articulation handbook is being developed to streamline processes.</w:t>
            </w:r>
          </w:p>
          <w:p w:rsidR="00E77899" w:rsidRPr="00E04250" w:rsidRDefault="00A75471" w:rsidP="00716A94">
            <w:pPr>
              <w:spacing w:after="0" w:line="240" w:lineRule="auto"/>
              <w:rPr>
                <w:rFonts w:eastAsiaTheme="minorHAnsi"/>
                <w:color w:val="000000"/>
                <w:sz w:val="24"/>
                <w:szCs w:val="24"/>
              </w:rPr>
            </w:pPr>
            <w:r>
              <w:rPr>
                <w:rFonts w:eastAsiaTheme="minorHAnsi"/>
                <w:color w:val="000000"/>
                <w:sz w:val="24"/>
                <w:szCs w:val="24"/>
              </w:rPr>
              <w:lastRenderedPageBreak/>
              <w:t>New website was built and is currently being completed</w:t>
            </w:r>
            <w:r w:rsidR="00E77899">
              <w:rPr>
                <w:rFonts w:eastAsiaTheme="minorHAnsi"/>
                <w:color w:val="000000"/>
                <w:sz w:val="24"/>
                <w:szCs w:val="24"/>
              </w:rPr>
              <w:t>.</w:t>
            </w:r>
            <w:r w:rsidR="00D2239A">
              <w:rPr>
                <w:rFonts w:eastAsiaTheme="minorHAnsi"/>
                <w:color w:val="000000"/>
                <w:sz w:val="24"/>
                <w:szCs w:val="24"/>
              </w:rPr>
              <w:t xml:space="preserve">  </w:t>
            </w:r>
            <w:r w:rsidR="00E77899">
              <w:rPr>
                <w:rFonts w:eastAsiaTheme="minorHAnsi"/>
                <w:color w:val="000000"/>
                <w:sz w:val="24"/>
                <w:szCs w:val="24"/>
              </w:rPr>
              <w:t xml:space="preserve">All agreements that will expire soon are being renewed. </w:t>
            </w:r>
          </w:p>
        </w:tc>
      </w:tr>
      <w:tr w:rsidR="00863C43" w:rsidRPr="00E04250" w:rsidTr="00716A9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C43" w:rsidRPr="00863C43" w:rsidRDefault="00863C43" w:rsidP="00863C43">
            <w:pPr>
              <w:autoSpaceDE w:val="0"/>
              <w:autoSpaceDN w:val="0"/>
              <w:adjustRightInd w:val="0"/>
              <w:spacing w:after="0" w:line="240" w:lineRule="auto"/>
              <w:rPr>
                <w:rFonts w:eastAsiaTheme="minorHAnsi"/>
                <w:color w:val="000000"/>
                <w:sz w:val="24"/>
                <w:szCs w:val="24"/>
              </w:rPr>
            </w:pPr>
            <w:r>
              <w:rPr>
                <w:rFonts w:eastAsiaTheme="minorHAnsi"/>
                <w:color w:val="000000"/>
                <w:sz w:val="24"/>
                <w:szCs w:val="24"/>
              </w:rPr>
              <w:lastRenderedPageBreak/>
              <w:t xml:space="preserve">5.  </w:t>
            </w:r>
            <w:r>
              <w:rPr>
                <w:rFonts w:eastAsiaTheme="minorHAnsi" w:cs="Calibri"/>
                <w:sz w:val="20"/>
                <w:szCs w:val="20"/>
              </w:rPr>
              <w:t>Provide current technology, safe</w:t>
            </w:r>
          </w:p>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s="Calibri"/>
                <w:sz w:val="20"/>
                <w:szCs w:val="20"/>
              </w:rPr>
              <w:t>facilities, appropriate allocation</w:t>
            </w:r>
          </w:p>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s="Calibri"/>
                <w:sz w:val="20"/>
                <w:szCs w:val="20"/>
              </w:rPr>
              <w:t>of resources, and enhanced</w:t>
            </w:r>
          </w:p>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s="Calibri"/>
                <w:sz w:val="20"/>
                <w:szCs w:val="20"/>
              </w:rPr>
              <w:t>services to the educational</w:t>
            </w:r>
          </w:p>
          <w:p w:rsidR="00863C43" w:rsidRPr="00E04250" w:rsidRDefault="00863C43" w:rsidP="00863C43">
            <w:pPr>
              <w:autoSpaceDE w:val="0"/>
              <w:autoSpaceDN w:val="0"/>
              <w:adjustRightInd w:val="0"/>
              <w:spacing w:after="0" w:line="240" w:lineRule="auto"/>
              <w:rPr>
                <w:rFonts w:eastAsiaTheme="minorHAnsi"/>
                <w:color w:val="000000"/>
                <w:sz w:val="24"/>
                <w:szCs w:val="24"/>
              </w:rPr>
            </w:pPr>
            <w:r>
              <w:rPr>
                <w:rFonts w:eastAsiaTheme="minorHAnsi" w:cs="Calibri"/>
                <w:sz w:val="20"/>
                <w:szCs w:val="20"/>
              </w:rPr>
              <w:t>community.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1: Student Learning                             </w:t>
            </w:r>
          </w:p>
          <w:p w:rsidR="00863C43" w:rsidRPr="00E04250"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2: Student Progression and Completion              </w:t>
            </w:r>
          </w:p>
          <w:p w:rsidR="00863C43" w:rsidRPr="00E04250" w:rsidRDefault="0041608C"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863C43" w:rsidRPr="00E04250">
              <w:rPr>
                <w:sz w:val="20"/>
                <w:szCs w:val="20"/>
              </w:rPr>
              <w:t xml:space="preserve"> 3: Facilities                          </w:t>
            </w:r>
          </w:p>
          <w:p w:rsidR="00863C43" w:rsidRPr="00E04250"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4: Oversight and Accountability           </w:t>
            </w:r>
          </w:p>
          <w:p w:rsidR="00863C43" w:rsidRPr="00863C43" w:rsidRDefault="003C2EB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863C43" w:rsidRPr="00E04250">
              <w:rPr>
                <w:sz w:val="20"/>
                <w:szCs w:val="20"/>
              </w:rPr>
              <w:t xml:space="preserve"> 5: Leadership and Engagement</w:t>
            </w:r>
            <w:r w:rsidR="00863C43" w:rsidRPr="00863C43">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863C43" w:rsidRPr="00E04250" w:rsidRDefault="00863C43" w:rsidP="00716A9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863C43" w:rsidRPr="00863C43" w:rsidRDefault="00863C43" w:rsidP="00716A94">
            <w:pPr>
              <w:pStyle w:val="NoSpacing"/>
              <w:rPr>
                <w:sz w:val="20"/>
                <w:szCs w:val="20"/>
              </w:rPr>
            </w:pPr>
            <w:r w:rsidRPr="00863C43">
              <w:rPr>
                <w:sz w:val="20"/>
                <w:szCs w:val="20"/>
              </w:rPr>
              <w:fldChar w:fldCharType="begin">
                <w:ffData>
                  <w:name w:val=""/>
                  <w:enabled/>
                  <w:calcOnExit w:val="0"/>
                  <w:checkBox>
                    <w:sizeAuto/>
                    <w:default w:val="1"/>
                  </w:checkBox>
                </w:ffData>
              </w:fldChar>
            </w:r>
            <w:r w:rsidRPr="00863C43">
              <w:rPr>
                <w:sz w:val="20"/>
                <w:szCs w:val="20"/>
              </w:rPr>
              <w:instrText xml:space="preserve"> FORMCHECKBOX </w:instrText>
            </w:r>
            <w:r w:rsidR="00E455A7">
              <w:rPr>
                <w:sz w:val="20"/>
                <w:szCs w:val="20"/>
              </w:rPr>
            </w:r>
            <w:r w:rsidR="00E455A7">
              <w:rPr>
                <w:sz w:val="20"/>
                <w:szCs w:val="20"/>
              </w:rPr>
              <w:fldChar w:fldCharType="separate"/>
            </w:r>
            <w:r w:rsidRPr="00863C43">
              <w:rPr>
                <w:sz w:val="20"/>
                <w:szCs w:val="20"/>
              </w:rPr>
              <w:fldChar w:fldCharType="end"/>
            </w:r>
            <w:r w:rsidRPr="00863C43">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spacing w:after="0" w:line="240" w:lineRule="auto"/>
              <w:rPr>
                <w:rFonts w:eastAsiaTheme="minorHAnsi"/>
                <w:color w:val="000000"/>
                <w:sz w:val="24"/>
                <w:szCs w:val="24"/>
              </w:rPr>
            </w:pPr>
            <w:r>
              <w:rPr>
                <w:rFonts w:eastAsiaTheme="minorHAnsi"/>
                <w:color w:val="000000"/>
                <w:sz w:val="24"/>
                <w:szCs w:val="24"/>
              </w:rPr>
              <w:t xml:space="preserve"> </w:t>
            </w:r>
            <w:r w:rsidR="00E10A90">
              <w:rPr>
                <w:rFonts w:eastAsiaTheme="minorHAnsi"/>
                <w:color w:val="000000"/>
                <w:sz w:val="24"/>
                <w:szCs w:val="24"/>
              </w:rPr>
              <w:t xml:space="preserve">Some computers have been replaced with more recent versions.  There is still </w:t>
            </w:r>
            <w:r w:rsidR="006A01EA">
              <w:rPr>
                <w:rFonts w:eastAsiaTheme="minorHAnsi"/>
                <w:color w:val="000000"/>
                <w:sz w:val="24"/>
                <w:szCs w:val="24"/>
              </w:rPr>
              <w:t>a need for current technology i</w:t>
            </w:r>
            <w:r w:rsidR="00E10A90">
              <w:rPr>
                <w:rFonts w:eastAsiaTheme="minorHAnsi"/>
                <w:color w:val="000000"/>
                <w:sz w:val="24"/>
                <w:szCs w:val="24"/>
              </w:rPr>
              <w:t>n the office.</w:t>
            </w:r>
          </w:p>
        </w:tc>
      </w:tr>
      <w:tr w:rsidR="00863C43" w:rsidRPr="00E04250" w:rsidTr="00716A9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olor w:val="000000"/>
                <w:sz w:val="24"/>
                <w:szCs w:val="24"/>
              </w:rPr>
              <w:t xml:space="preserve">6.  </w:t>
            </w:r>
            <w:r>
              <w:rPr>
                <w:rFonts w:eastAsiaTheme="minorHAnsi" w:cs="Calibri"/>
                <w:sz w:val="20"/>
                <w:szCs w:val="20"/>
              </w:rPr>
              <w:t>Increase Contract Education</w:t>
            </w:r>
          </w:p>
          <w:p w:rsidR="00863C43" w:rsidRPr="00E04250" w:rsidRDefault="00863C43" w:rsidP="00863C43">
            <w:pPr>
              <w:autoSpaceDE w:val="0"/>
              <w:autoSpaceDN w:val="0"/>
              <w:adjustRightInd w:val="0"/>
              <w:spacing w:after="0" w:line="240" w:lineRule="auto"/>
              <w:rPr>
                <w:rFonts w:eastAsiaTheme="minorHAnsi"/>
                <w:color w:val="000000"/>
                <w:sz w:val="24"/>
                <w:szCs w:val="24"/>
              </w:rPr>
            </w:pPr>
            <w:r>
              <w:rPr>
                <w:rFonts w:eastAsiaTheme="minorHAnsi" w:cs="Calibri"/>
                <w:sz w:val="20"/>
                <w:szCs w:val="20"/>
              </w:rPr>
              <w:t>offerings</w:t>
            </w:r>
          </w:p>
          <w:p w:rsidR="00863C43" w:rsidRPr="00E04250" w:rsidRDefault="00863C43" w:rsidP="00716A94">
            <w:pPr>
              <w:autoSpaceDE w:val="0"/>
              <w:autoSpaceDN w:val="0"/>
              <w:adjustRightInd w:val="0"/>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1: Student Learning                             </w:t>
            </w:r>
          </w:p>
          <w:p w:rsidR="00863C43" w:rsidRPr="00E04250" w:rsidRDefault="00863C43" w:rsidP="00716A9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863C43" w:rsidRPr="00E04250" w:rsidRDefault="00863C43" w:rsidP="00716A9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3: Facilities                          </w:t>
            </w:r>
          </w:p>
          <w:p w:rsidR="00863C43" w:rsidRPr="00E04250" w:rsidRDefault="00863C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Pr="00E04250">
              <w:rPr>
                <w:sz w:val="20"/>
                <w:szCs w:val="20"/>
              </w:rPr>
              <w:t xml:space="preserve"> 4: Oversight and Accountability           </w:t>
            </w:r>
          </w:p>
          <w:p w:rsidR="00863C43" w:rsidRPr="00863C43" w:rsidRDefault="003C2EB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863C43" w:rsidRPr="00E04250">
              <w:rPr>
                <w:sz w:val="20"/>
                <w:szCs w:val="20"/>
              </w:rPr>
              <w:t xml:space="preserve"> 5: Leadership and Engagement</w:t>
            </w:r>
            <w:r w:rsidR="00863C43" w:rsidRPr="00863C43">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863C43" w:rsidRPr="00E04250" w:rsidRDefault="00863C43" w:rsidP="00716A9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863C43" w:rsidRPr="00863C43" w:rsidRDefault="00863C43" w:rsidP="00716A94">
            <w:pPr>
              <w:pStyle w:val="NoSpacing"/>
              <w:rPr>
                <w:sz w:val="20"/>
                <w:szCs w:val="20"/>
              </w:rPr>
            </w:pPr>
            <w:r w:rsidRPr="00863C43">
              <w:rPr>
                <w:sz w:val="20"/>
                <w:szCs w:val="20"/>
              </w:rPr>
              <w:fldChar w:fldCharType="begin">
                <w:ffData>
                  <w:name w:val=""/>
                  <w:enabled/>
                  <w:calcOnExit w:val="0"/>
                  <w:checkBox>
                    <w:sizeAuto/>
                    <w:default w:val="1"/>
                  </w:checkBox>
                </w:ffData>
              </w:fldChar>
            </w:r>
            <w:r w:rsidRPr="00863C43">
              <w:rPr>
                <w:sz w:val="20"/>
                <w:szCs w:val="20"/>
              </w:rPr>
              <w:instrText xml:space="preserve"> FORMCHECKBOX </w:instrText>
            </w:r>
            <w:r w:rsidR="00E455A7">
              <w:rPr>
                <w:sz w:val="20"/>
                <w:szCs w:val="20"/>
              </w:rPr>
            </w:r>
            <w:r w:rsidR="00E455A7">
              <w:rPr>
                <w:sz w:val="20"/>
                <w:szCs w:val="20"/>
              </w:rPr>
              <w:fldChar w:fldCharType="separate"/>
            </w:r>
            <w:r w:rsidRPr="00863C43">
              <w:rPr>
                <w:sz w:val="20"/>
                <w:szCs w:val="20"/>
              </w:rPr>
              <w:fldChar w:fldCharType="end"/>
            </w:r>
            <w:r w:rsidRPr="00863C43">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134454">
            <w:pPr>
              <w:spacing w:after="0" w:line="240" w:lineRule="auto"/>
              <w:rPr>
                <w:rFonts w:eastAsiaTheme="minorHAnsi"/>
                <w:color w:val="000000"/>
                <w:sz w:val="24"/>
                <w:szCs w:val="24"/>
              </w:rPr>
            </w:pPr>
            <w:r>
              <w:rPr>
                <w:rFonts w:eastAsiaTheme="minorHAnsi"/>
                <w:color w:val="000000"/>
                <w:sz w:val="24"/>
                <w:szCs w:val="24"/>
              </w:rPr>
              <w:t xml:space="preserve"> </w:t>
            </w:r>
            <w:r w:rsidR="00E10A90">
              <w:rPr>
                <w:rFonts w:eastAsiaTheme="minorHAnsi"/>
                <w:color w:val="000000"/>
                <w:sz w:val="24"/>
                <w:szCs w:val="24"/>
              </w:rPr>
              <w:t xml:space="preserve">We continue to increase </w:t>
            </w:r>
            <w:r w:rsidR="006A01EA">
              <w:rPr>
                <w:rFonts w:eastAsiaTheme="minorHAnsi"/>
                <w:color w:val="000000"/>
                <w:sz w:val="24"/>
                <w:szCs w:val="24"/>
              </w:rPr>
              <w:t xml:space="preserve">the offerings for </w:t>
            </w:r>
            <w:r w:rsidR="00E10A90">
              <w:rPr>
                <w:rFonts w:eastAsiaTheme="minorHAnsi"/>
                <w:color w:val="000000"/>
                <w:sz w:val="24"/>
                <w:szCs w:val="24"/>
              </w:rPr>
              <w:t>contract education</w:t>
            </w:r>
            <w:r w:rsidR="006A01EA">
              <w:rPr>
                <w:rFonts w:eastAsiaTheme="minorHAnsi"/>
                <w:color w:val="000000"/>
                <w:sz w:val="24"/>
                <w:szCs w:val="24"/>
              </w:rPr>
              <w:t xml:space="preserve"> for the Bilingual Proficiency Exam.</w:t>
            </w:r>
            <w:r w:rsidR="00AA3635">
              <w:rPr>
                <w:rFonts w:eastAsiaTheme="minorHAnsi"/>
                <w:color w:val="000000"/>
                <w:sz w:val="24"/>
                <w:szCs w:val="24"/>
              </w:rPr>
              <w:t xml:space="preserve"> We increased the tests given by</w:t>
            </w:r>
            <w:r w:rsidR="00134454">
              <w:rPr>
                <w:rFonts w:eastAsiaTheme="minorHAnsi"/>
                <w:color w:val="000000"/>
                <w:sz w:val="24"/>
                <w:szCs w:val="24"/>
              </w:rPr>
              <w:t xml:space="preserve"> 150 between the 14-15 and 15-16 academic year.</w:t>
            </w:r>
          </w:p>
        </w:tc>
      </w:tr>
      <w:tr w:rsidR="00863C43" w:rsidRPr="00E04250" w:rsidTr="00863C43">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olor w:val="000000"/>
                <w:sz w:val="24"/>
                <w:szCs w:val="24"/>
              </w:rPr>
              <w:t xml:space="preserve">7.  </w:t>
            </w:r>
            <w:r>
              <w:rPr>
                <w:rFonts w:eastAsiaTheme="minorHAnsi" w:cs="Calibri"/>
                <w:sz w:val="20"/>
                <w:szCs w:val="20"/>
              </w:rPr>
              <w:t>Expand and enhance Web and</w:t>
            </w:r>
          </w:p>
          <w:p w:rsidR="00863C43" w:rsidRDefault="00863C43" w:rsidP="00863C43">
            <w:pPr>
              <w:autoSpaceDE w:val="0"/>
              <w:autoSpaceDN w:val="0"/>
              <w:adjustRightInd w:val="0"/>
              <w:spacing w:after="0" w:line="240" w:lineRule="auto"/>
              <w:rPr>
                <w:rFonts w:eastAsiaTheme="minorHAnsi" w:cs="Calibri"/>
                <w:sz w:val="20"/>
                <w:szCs w:val="20"/>
              </w:rPr>
            </w:pPr>
            <w:r>
              <w:rPr>
                <w:rFonts w:eastAsiaTheme="minorHAnsi" w:cs="Calibri"/>
                <w:sz w:val="20"/>
                <w:szCs w:val="20"/>
              </w:rPr>
              <w:t>presence for the CTE</w:t>
            </w:r>
          </w:p>
          <w:p w:rsidR="00863C43" w:rsidRPr="00E04250" w:rsidRDefault="00863C43" w:rsidP="00863C43">
            <w:pPr>
              <w:autoSpaceDE w:val="0"/>
              <w:autoSpaceDN w:val="0"/>
              <w:adjustRightInd w:val="0"/>
              <w:spacing w:after="0" w:line="240" w:lineRule="auto"/>
              <w:rPr>
                <w:rFonts w:eastAsiaTheme="minorHAnsi"/>
                <w:color w:val="000000"/>
                <w:sz w:val="24"/>
                <w:szCs w:val="24"/>
              </w:rPr>
            </w:pPr>
            <w:r>
              <w:rPr>
                <w:rFonts w:eastAsiaTheme="minorHAnsi" w:cs="Calibri"/>
                <w:sz w:val="20"/>
                <w:szCs w:val="20"/>
              </w:rPr>
              <w:t>department.</w:t>
            </w:r>
          </w:p>
          <w:p w:rsidR="00863C43" w:rsidRPr="00E04250" w:rsidRDefault="00863C43" w:rsidP="00716A94">
            <w:pPr>
              <w:autoSpaceDE w:val="0"/>
              <w:autoSpaceDN w:val="0"/>
              <w:adjustRightInd w:val="0"/>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1: Student Learning                             </w:t>
            </w:r>
          </w:p>
          <w:p w:rsidR="00863C43" w:rsidRPr="00E04250" w:rsidRDefault="00863C43" w:rsidP="00716A9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863C43" w:rsidRPr="00E04250" w:rsidRDefault="00863C43" w:rsidP="00716A9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3: Facilities                          </w:t>
            </w:r>
          </w:p>
          <w:p w:rsidR="00863C43" w:rsidRPr="00E04250" w:rsidRDefault="0061274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863C43" w:rsidRPr="00E04250">
              <w:rPr>
                <w:sz w:val="20"/>
                <w:szCs w:val="20"/>
              </w:rPr>
              <w:t xml:space="preserve"> 4: Oversight and Accountability           </w:t>
            </w:r>
          </w:p>
          <w:p w:rsidR="00863C43" w:rsidRPr="00863C43" w:rsidRDefault="003C2EB3"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863C43" w:rsidRPr="00E04250">
              <w:rPr>
                <w:sz w:val="20"/>
                <w:szCs w:val="20"/>
              </w:rPr>
              <w:t xml:space="preserve"> 5: Leadership and Engagement</w:t>
            </w:r>
            <w:r w:rsidR="00863C43" w:rsidRPr="00863C43">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863C43" w:rsidRPr="00E04250" w:rsidRDefault="00863C43" w:rsidP="00716A94">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455A7">
              <w:rPr>
                <w:sz w:val="20"/>
                <w:szCs w:val="20"/>
              </w:rPr>
            </w:r>
            <w:r w:rsidR="00E455A7">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863C43" w:rsidRPr="00863C43" w:rsidRDefault="00863C43" w:rsidP="00716A94">
            <w:pPr>
              <w:pStyle w:val="NoSpacing"/>
              <w:rPr>
                <w:sz w:val="20"/>
                <w:szCs w:val="20"/>
              </w:rPr>
            </w:pPr>
            <w:r w:rsidRPr="00863C43">
              <w:rPr>
                <w:sz w:val="20"/>
                <w:szCs w:val="20"/>
              </w:rPr>
              <w:fldChar w:fldCharType="begin">
                <w:ffData>
                  <w:name w:val=""/>
                  <w:enabled/>
                  <w:calcOnExit w:val="0"/>
                  <w:checkBox>
                    <w:sizeAuto/>
                    <w:default w:val="1"/>
                  </w:checkBox>
                </w:ffData>
              </w:fldChar>
            </w:r>
            <w:r w:rsidRPr="00863C43">
              <w:rPr>
                <w:sz w:val="20"/>
                <w:szCs w:val="20"/>
              </w:rPr>
              <w:instrText xml:space="preserve"> FORMCHECKBOX </w:instrText>
            </w:r>
            <w:r w:rsidR="00E455A7">
              <w:rPr>
                <w:sz w:val="20"/>
                <w:szCs w:val="20"/>
              </w:rPr>
            </w:r>
            <w:r w:rsidR="00E455A7">
              <w:rPr>
                <w:sz w:val="20"/>
                <w:szCs w:val="20"/>
              </w:rPr>
              <w:fldChar w:fldCharType="separate"/>
            </w:r>
            <w:r w:rsidRPr="00863C43">
              <w:rPr>
                <w:sz w:val="20"/>
                <w:szCs w:val="20"/>
              </w:rPr>
              <w:fldChar w:fldCharType="end"/>
            </w:r>
            <w:r w:rsidRPr="00863C43">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863C43" w:rsidRPr="00E04250" w:rsidRDefault="00863C43" w:rsidP="00716A94">
            <w:pPr>
              <w:spacing w:after="0" w:line="240" w:lineRule="auto"/>
              <w:rPr>
                <w:rFonts w:eastAsiaTheme="minorHAnsi"/>
                <w:color w:val="000000"/>
                <w:sz w:val="24"/>
                <w:szCs w:val="24"/>
              </w:rPr>
            </w:pPr>
            <w:r>
              <w:rPr>
                <w:rFonts w:eastAsiaTheme="minorHAnsi"/>
                <w:color w:val="000000"/>
                <w:sz w:val="24"/>
                <w:szCs w:val="24"/>
              </w:rPr>
              <w:t xml:space="preserve"> </w:t>
            </w:r>
            <w:r w:rsidR="00E10A90">
              <w:rPr>
                <w:rFonts w:eastAsiaTheme="minorHAnsi"/>
                <w:color w:val="000000"/>
                <w:sz w:val="24"/>
                <w:szCs w:val="24"/>
              </w:rPr>
              <w:t>We have built the CTE page and are in the process of completing all information on the page.</w:t>
            </w:r>
            <w:r w:rsidR="00134454">
              <w:rPr>
                <w:rFonts w:eastAsiaTheme="minorHAnsi"/>
                <w:color w:val="000000"/>
                <w:sz w:val="24"/>
                <w:szCs w:val="24"/>
              </w:rPr>
              <w:t xml:space="preserve">  We wish to have a greater online presence for our CTE Programs, articulation, and dual enrollment processes.  We continue updated the page weekly so all progress and processes are transparent.</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7571B5" w:rsidRPr="00E04250" w:rsidRDefault="00612743" w:rsidP="00E04250">
            <w:pPr>
              <w:rPr>
                <w:b/>
              </w:rPr>
            </w:pPr>
            <w:r>
              <w:rPr>
                <w:b/>
              </w:rPr>
              <w:t>Incorporate Strong Workforce Task Force 25 recommendations and WIOA Guidelines.</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E73837"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E73837"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E73837" w:rsidP="00E04250">
            <w:pPr>
              <w:pStyle w:val="NoSpacing"/>
              <w:rPr>
                <w:sz w:val="20"/>
                <w:szCs w:val="20"/>
              </w:rPr>
            </w:pPr>
            <w:r>
              <w:rPr>
                <w:sz w:val="20"/>
                <w:szCs w:val="20"/>
              </w:rPr>
              <w:lastRenderedPageBreak/>
              <w:fldChar w:fldCharType="begin">
                <w:ffData>
                  <w:name w:val="Check3"/>
                  <w:enabled/>
                  <w:calcOnExit w:val="0"/>
                  <w:checkBox>
                    <w:sizeAuto/>
                    <w:default w:val="0"/>
                  </w:checkBox>
                </w:ffData>
              </w:fldChar>
            </w:r>
            <w:bookmarkStart w:id="7" w:name="Check3"/>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bookmarkEnd w:id="7"/>
            <w:r w:rsidR="0059381F" w:rsidRPr="00E04250">
              <w:rPr>
                <w:sz w:val="20"/>
                <w:szCs w:val="20"/>
              </w:rPr>
              <w:t xml:space="preserve"> 3: Facilities                             </w:t>
            </w:r>
          </w:p>
          <w:p w:rsidR="0059381F" w:rsidRPr="00E04250" w:rsidRDefault="00E73837"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612743"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Default="00612743" w:rsidP="00E04250">
            <w:pPr>
              <w:rPr>
                <w:b/>
              </w:rPr>
            </w:pPr>
            <w:r>
              <w:rPr>
                <w:b/>
              </w:rPr>
              <w:lastRenderedPageBreak/>
              <w:t xml:space="preserve">Strong Work Force recommendations were established for the purpose of expanding the </w:t>
            </w:r>
            <w:r>
              <w:rPr>
                <w:b/>
              </w:rPr>
              <w:lastRenderedPageBreak/>
              <w:t>availability of quality community college career and technical education and workforce development courses, programs, pathways, credentials, certificates, and degrees.</w:t>
            </w:r>
          </w:p>
          <w:p w:rsidR="00527E21" w:rsidRDefault="00527E21" w:rsidP="00E04250">
            <w:pPr>
              <w:rPr>
                <w:b/>
              </w:rPr>
            </w:pPr>
          </w:p>
          <w:p w:rsidR="00527E21" w:rsidRPr="00527E21" w:rsidRDefault="00527E21" w:rsidP="00527E21">
            <w:pPr>
              <w:rPr>
                <w:b/>
              </w:rPr>
            </w:pPr>
            <w:r w:rsidRPr="00527E21">
              <w:rPr>
                <w:b/>
              </w:rPr>
              <w:t>To facilitate program coordination and alignment with other workforce training, education, and employment services in the state, the Strong Workforce Program will comply with the California Strategic Workforce Development Plan, and the Workforce Innovation and Opportunity and expand upon existing consortia infrastructure</w:t>
            </w:r>
          </w:p>
        </w:tc>
      </w:tr>
      <w:tr w:rsidR="00335AF8" w:rsidRPr="00E04250" w:rsidTr="00716A94">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AF8" w:rsidRPr="00E04250" w:rsidRDefault="00335AF8" w:rsidP="00716A94">
            <w:pPr>
              <w:jc w:val="center"/>
              <w:rPr>
                <w:b/>
              </w:rPr>
            </w:pPr>
            <w:r w:rsidRPr="00E04250">
              <w:rPr>
                <w:b/>
              </w:rPr>
              <w:lastRenderedPageBreak/>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AF8" w:rsidRPr="00E04250" w:rsidRDefault="00335AF8" w:rsidP="00716A94">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5AF8" w:rsidRPr="00E04250" w:rsidRDefault="00335AF8" w:rsidP="00716A94">
            <w:pPr>
              <w:jc w:val="center"/>
              <w:rPr>
                <w:b/>
              </w:rPr>
            </w:pPr>
            <w:r w:rsidRPr="00E04250">
              <w:rPr>
                <w:b/>
              </w:rPr>
              <w:t>Anticipated Results</w:t>
            </w:r>
          </w:p>
        </w:tc>
      </w:tr>
      <w:tr w:rsidR="00335AF8" w:rsidRPr="00E04250" w:rsidTr="00716A94">
        <w:tc>
          <w:tcPr>
            <w:tcW w:w="4320" w:type="dxa"/>
            <w:tcBorders>
              <w:top w:val="single" w:sz="4" w:space="0" w:color="auto"/>
              <w:left w:val="single" w:sz="4" w:space="0" w:color="auto"/>
              <w:bottom w:val="single" w:sz="4" w:space="0" w:color="auto"/>
              <w:right w:val="single" w:sz="4" w:space="0" w:color="auto"/>
            </w:tcBorders>
          </w:tcPr>
          <w:p w:rsidR="00335AF8" w:rsidRPr="00E04250" w:rsidRDefault="00335AF8" w:rsidP="00716A94">
            <w:pPr>
              <w:rPr>
                <w:b/>
              </w:rPr>
            </w:pPr>
            <w:r>
              <w:rPr>
                <w:b/>
              </w:rPr>
              <w:t xml:space="preserve">  </w:t>
            </w:r>
            <w:r w:rsidR="00716A94" w:rsidRPr="00716A94">
              <w:rPr>
                <w:b/>
                <w:bCs/>
              </w:rPr>
              <w:t>Establish new software that will assist in employment tracking of CTE students.</w:t>
            </w:r>
          </w:p>
        </w:tc>
        <w:tc>
          <w:tcPr>
            <w:tcW w:w="5310" w:type="dxa"/>
            <w:tcBorders>
              <w:top w:val="single" w:sz="4" w:space="0" w:color="auto"/>
              <w:left w:val="single" w:sz="4" w:space="0" w:color="auto"/>
              <w:bottom w:val="single" w:sz="4" w:space="0" w:color="auto"/>
              <w:right w:val="single" w:sz="4" w:space="0" w:color="auto"/>
            </w:tcBorders>
          </w:tcPr>
          <w:p w:rsidR="00335AF8" w:rsidRPr="00E04250" w:rsidRDefault="00716A94"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335AF8" w:rsidRPr="00E04250">
              <w:rPr>
                <w:sz w:val="20"/>
                <w:szCs w:val="20"/>
              </w:rPr>
              <w:t xml:space="preserve"> 1: Student Learning                            </w:t>
            </w:r>
          </w:p>
          <w:p w:rsidR="00335AF8" w:rsidRPr="00E04250" w:rsidRDefault="00716A94"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335AF8" w:rsidRPr="00E04250">
              <w:rPr>
                <w:sz w:val="20"/>
                <w:szCs w:val="20"/>
              </w:rPr>
              <w:t xml:space="preserve"> 2: Student Progression and Completion           </w:t>
            </w:r>
          </w:p>
          <w:p w:rsidR="00335AF8" w:rsidRPr="00E04250" w:rsidRDefault="00716A94" w:rsidP="00716A94">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335AF8" w:rsidRPr="00E04250">
              <w:rPr>
                <w:sz w:val="20"/>
                <w:szCs w:val="20"/>
              </w:rPr>
              <w:t xml:space="preserve"> 3: Facilities                             </w:t>
            </w:r>
          </w:p>
          <w:p w:rsidR="00335AF8" w:rsidRPr="00E04250" w:rsidRDefault="00716A94" w:rsidP="00716A9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335AF8" w:rsidRPr="00E04250">
              <w:rPr>
                <w:sz w:val="20"/>
                <w:szCs w:val="20"/>
              </w:rPr>
              <w:t xml:space="preserve"> 4: Oversight and Accountability          </w:t>
            </w:r>
          </w:p>
          <w:p w:rsidR="00335AF8" w:rsidRPr="00E04250" w:rsidRDefault="00716A94" w:rsidP="00716A94">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5A7">
              <w:rPr>
                <w:sz w:val="20"/>
                <w:szCs w:val="20"/>
              </w:rPr>
            </w:r>
            <w:r w:rsidR="00E455A7">
              <w:rPr>
                <w:sz w:val="20"/>
                <w:szCs w:val="20"/>
              </w:rPr>
              <w:fldChar w:fldCharType="separate"/>
            </w:r>
            <w:r>
              <w:rPr>
                <w:sz w:val="20"/>
                <w:szCs w:val="20"/>
              </w:rPr>
              <w:fldChar w:fldCharType="end"/>
            </w:r>
            <w:r w:rsidR="00335AF8" w:rsidRPr="00E04250">
              <w:rPr>
                <w:sz w:val="20"/>
                <w:szCs w:val="20"/>
              </w:rPr>
              <w:t xml:space="preserve"> 5: Leadership and Engagement        </w:t>
            </w:r>
            <w:r w:rsidR="00335AF8"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335AF8" w:rsidRPr="00E04250" w:rsidRDefault="00716A94" w:rsidP="00716A94">
            <w:pPr>
              <w:rPr>
                <w:b/>
              </w:rPr>
            </w:pPr>
            <w:r w:rsidRPr="00716A94">
              <w:rPr>
                <w:b/>
              </w:rPr>
              <w:t xml:space="preserve">The </w:t>
            </w:r>
            <w:r w:rsidR="00134454">
              <w:rPr>
                <w:b/>
              </w:rPr>
              <w:t xml:space="preserve">JobSpeaker </w:t>
            </w:r>
            <w:r w:rsidRPr="00716A94">
              <w:rPr>
                <w:b/>
              </w:rPr>
              <w:t>software will allow us to track how students are doing in their job search and give us the ability to reach students of all majors with job opportunities and events. With this we will be able to not only track students but track and maintain a relationship with our employers. This software will also allow us to better report the employment trends and numbers among our BC CTE students.</w:t>
            </w:r>
          </w:p>
        </w:tc>
      </w:tr>
    </w:tbl>
    <w:p w:rsidR="00134454" w:rsidRDefault="00134454"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75578D"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75578D" w:rsidRDefault="0075578D" w:rsidP="0075578D">
      <w:pPr>
        <w:spacing w:after="0" w:line="240" w:lineRule="auto"/>
        <w:rPr>
          <w:rFonts w:cstheme="minorHAnsi"/>
        </w:rPr>
      </w:pPr>
    </w:p>
    <w:tbl>
      <w:tblPr>
        <w:tblStyle w:val="TableGrid"/>
        <w:tblW w:w="0" w:type="auto"/>
        <w:tblLook w:val="04A0" w:firstRow="1" w:lastRow="0" w:firstColumn="1" w:lastColumn="0" w:noHBand="0" w:noVBand="1"/>
      </w:tblPr>
      <w:tblGrid>
        <w:gridCol w:w="1255"/>
        <w:gridCol w:w="1260"/>
        <w:gridCol w:w="1170"/>
        <w:gridCol w:w="1170"/>
        <w:gridCol w:w="1170"/>
      </w:tblGrid>
      <w:tr w:rsidR="0075578D" w:rsidTr="00B60E35">
        <w:tc>
          <w:tcPr>
            <w:tcW w:w="1255" w:type="dxa"/>
          </w:tcPr>
          <w:p w:rsidR="0075578D" w:rsidRDefault="0075578D" w:rsidP="0075578D"/>
        </w:tc>
        <w:tc>
          <w:tcPr>
            <w:tcW w:w="2430" w:type="dxa"/>
            <w:gridSpan w:val="2"/>
            <w:shd w:val="clear" w:color="auto" w:fill="BFBFBF" w:themeFill="background1" w:themeFillShade="BF"/>
          </w:tcPr>
          <w:p w:rsidR="0075578D" w:rsidRPr="0075578D" w:rsidRDefault="0075578D" w:rsidP="0075578D">
            <w:pPr>
              <w:jc w:val="center"/>
              <w:rPr>
                <w:b/>
              </w:rPr>
            </w:pPr>
            <w:r w:rsidRPr="0075578D">
              <w:rPr>
                <w:b/>
              </w:rPr>
              <w:t>2014-2015</w:t>
            </w:r>
          </w:p>
        </w:tc>
        <w:tc>
          <w:tcPr>
            <w:tcW w:w="2340" w:type="dxa"/>
            <w:gridSpan w:val="2"/>
            <w:shd w:val="clear" w:color="auto" w:fill="BFBFBF" w:themeFill="background1" w:themeFillShade="BF"/>
          </w:tcPr>
          <w:p w:rsidR="0075578D" w:rsidRPr="0075578D" w:rsidRDefault="0075578D" w:rsidP="0075578D">
            <w:pPr>
              <w:jc w:val="center"/>
              <w:rPr>
                <w:b/>
              </w:rPr>
            </w:pPr>
            <w:r w:rsidRPr="0075578D">
              <w:rPr>
                <w:b/>
              </w:rPr>
              <w:t>2015-2016</w:t>
            </w:r>
          </w:p>
        </w:tc>
      </w:tr>
      <w:tr w:rsidR="0075578D" w:rsidTr="00B60E35">
        <w:tc>
          <w:tcPr>
            <w:tcW w:w="1255" w:type="dxa"/>
          </w:tcPr>
          <w:p w:rsidR="0075578D" w:rsidRDefault="0075578D" w:rsidP="0075578D"/>
        </w:tc>
        <w:tc>
          <w:tcPr>
            <w:tcW w:w="1260" w:type="dxa"/>
            <w:shd w:val="clear" w:color="auto" w:fill="BFBFBF" w:themeFill="background1" w:themeFillShade="BF"/>
          </w:tcPr>
          <w:p w:rsidR="0075578D" w:rsidRPr="0075578D" w:rsidRDefault="00DB008B" w:rsidP="0075578D">
            <w:pPr>
              <w:jc w:val="center"/>
              <w:rPr>
                <w:b/>
              </w:rPr>
            </w:pPr>
            <w:r>
              <w:rPr>
                <w:b/>
              </w:rPr>
              <w:t xml:space="preserve">CTE </w:t>
            </w:r>
            <w:r w:rsidR="0075578D" w:rsidRPr="0075578D">
              <w:rPr>
                <w:b/>
              </w:rPr>
              <w:t>Students</w:t>
            </w:r>
          </w:p>
        </w:tc>
        <w:tc>
          <w:tcPr>
            <w:tcW w:w="1170" w:type="dxa"/>
            <w:shd w:val="clear" w:color="auto" w:fill="BFBFBF" w:themeFill="background1" w:themeFillShade="BF"/>
          </w:tcPr>
          <w:p w:rsidR="0075578D" w:rsidRPr="0075578D" w:rsidRDefault="0075578D" w:rsidP="0075578D">
            <w:pPr>
              <w:jc w:val="center"/>
              <w:rPr>
                <w:b/>
              </w:rPr>
            </w:pPr>
            <w:r w:rsidRPr="0075578D">
              <w:rPr>
                <w:b/>
              </w:rPr>
              <w:t>%</w:t>
            </w:r>
          </w:p>
        </w:tc>
        <w:tc>
          <w:tcPr>
            <w:tcW w:w="1170" w:type="dxa"/>
            <w:shd w:val="clear" w:color="auto" w:fill="BFBFBF" w:themeFill="background1" w:themeFillShade="BF"/>
          </w:tcPr>
          <w:p w:rsidR="00DB008B" w:rsidRDefault="00DB008B" w:rsidP="0075578D">
            <w:pPr>
              <w:jc w:val="center"/>
              <w:rPr>
                <w:b/>
              </w:rPr>
            </w:pPr>
            <w:r>
              <w:rPr>
                <w:b/>
              </w:rPr>
              <w:t>CTE</w:t>
            </w:r>
          </w:p>
          <w:p w:rsidR="0075578D" w:rsidRPr="0075578D" w:rsidRDefault="0075578D" w:rsidP="0075578D">
            <w:pPr>
              <w:jc w:val="center"/>
              <w:rPr>
                <w:b/>
              </w:rPr>
            </w:pPr>
            <w:r w:rsidRPr="0075578D">
              <w:rPr>
                <w:b/>
              </w:rPr>
              <w:t>Students</w:t>
            </w:r>
          </w:p>
        </w:tc>
        <w:tc>
          <w:tcPr>
            <w:tcW w:w="1170" w:type="dxa"/>
            <w:shd w:val="clear" w:color="auto" w:fill="BFBFBF" w:themeFill="background1" w:themeFillShade="BF"/>
          </w:tcPr>
          <w:p w:rsidR="0075578D" w:rsidRPr="0075578D" w:rsidRDefault="0075578D" w:rsidP="0075578D">
            <w:pPr>
              <w:jc w:val="center"/>
              <w:rPr>
                <w:rFonts w:cstheme="minorHAnsi"/>
                <w:b/>
              </w:rPr>
            </w:pPr>
            <w:r w:rsidRPr="0075578D">
              <w:rPr>
                <w:rFonts w:cstheme="minorHAnsi"/>
                <w:b/>
              </w:rPr>
              <w:t>%</w:t>
            </w:r>
          </w:p>
        </w:tc>
      </w:tr>
      <w:tr w:rsidR="0075578D" w:rsidTr="002F7CF6">
        <w:tc>
          <w:tcPr>
            <w:tcW w:w="1255" w:type="dxa"/>
          </w:tcPr>
          <w:p w:rsidR="0075578D" w:rsidRPr="0075578D" w:rsidRDefault="0075578D" w:rsidP="0075578D">
            <w:pPr>
              <w:rPr>
                <w:b/>
              </w:rPr>
            </w:pPr>
            <w:r w:rsidRPr="0075578D">
              <w:rPr>
                <w:b/>
              </w:rPr>
              <w:t xml:space="preserve">Female </w:t>
            </w:r>
          </w:p>
        </w:tc>
        <w:tc>
          <w:tcPr>
            <w:tcW w:w="1260" w:type="dxa"/>
          </w:tcPr>
          <w:p w:rsidR="0075578D" w:rsidRPr="006912EB" w:rsidRDefault="0075578D" w:rsidP="0075578D">
            <w:pPr>
              <w:jc w:val="right"/>
            </w:pPr>
            <w:r w:rsidRPr="006912EB">
              <w:t>7,258</w:t>
            </w:r>
          </w:p>
        </w:tc>
        <w:tc>
          <w:tcPr>
            <w:tcW w:w="1170" w:type="dxa"/>
          </w:tcPr>
          <w:p w:rsidR="0075578D" w:rsidRPr="006912EB" w:rsidRDefault="0075578D" w:rsidP="0075578D">
            <w:pPr>
              <w:jc w:val="right"/>
            </w:pPr>
            <w:r w:rsidRPr="006912EB">
              <w:t>50.9%</w:t>
            </w:r>
          </w:p>
        </w:tc>
        <w:tc>
          <w:tcPr>
            <w:tcW w:w="1170" w:type="dxa"/>
          </w:tcPr>
          <w:p w:rsidR="0075578D" w:rsidRDefault="0075578D" w:rsidP="0075578D">
            <w:pPr>
              <w:jc w:val="right"/>
            </w:pPr>
            <w:r>
              <w:t>7,813</w:t>
            </w:r>
          </w:p>
        </w:tc>
        <w:tc>
          <w:tcPr>
            <w:tcW w:w="1170" w:type="dxa"/>
          </w:tcPr>
          <w:p w:rsidR="0075578D" w:rsidRDefault="0075578D" w:rsidP="0075578D">
            <w:pPr>
              <w:jc w:val="right"/>
            </w:pPr>
            <w:r>
              <w:t>50.3%</w:t>
            </w:r>
          </w:p>
        </w:tc>
      </w:tr>
      <w:tr w:rsidR="0075578D" w:rsidTr="002F7CF6">
        <w:tc>
          <w:tcPr>
            <w:tcW w:w="1255" w:type="dxa"/>
          </w:tcPr>
          <w:p w:rsidR="0075578D" w:rsidRPr="0075578D" w:rsidRDefault="0075578D" w:rsidP="0075578D">
            <w:pPr>
              <w:rPr>
                <w:b/>
              </w:rPr>
            </w:pPr>
            <w:r w:rsidRPr="0075578D">
              <w:rPr>
                <w:b/>
              </w:rPr>
              <w:t>Male</w:t>
            </w:r>
          </w:p>
        </w:tc>
        <w:tc>
          <w:tcPr>
            <w:tcW w:w="1260" w:type="dxa"/>
          </w:tcPr>
          <w:p w:rsidR="0075578D" w:rsidRPr="006912EB" w:rsidRDefault="0075578D" w:rsidP="0075578D">
            <w:pPr>
              <w:jc w:val="right"/>
            </w:pPr>
            <w:r w:rsidRPr="006912EB">
              <w:t>6,806</w:t>
            </w:r>
          </w:p>
        </w:tc>
        <w:tc>
          <w:tcPr>
            <w:tcW w:w="1170" w:type="dxa"/>
          </w:tcPr>
          <w:p w:rsidR="0075578D" w:rsidRPr="006912EB" w:rsidRDefault="0075578D" w:rsidP="0075578D">
            <w:pPr>
              <w:jc w:val="right"/>
            </w:pPr>
            <w:r w:rsidRPr="006912EB">
              <w:t>47.8%</w:t>
            </w:r>
          </w:p>
        </w:tc>
        <w:tc>
          <w:tcPr>
            <w:tcW w:w="1170" w:type="dxa"/>
          </w:tcPr>
          <w:p w:rsidR="0075578D" w:rsidRDefault="0075578D" w:rsidP="0075578D">
            <w:pPr>
              <w:jc w:val="right"/>
            </w:pPr>
            <w:r>
              <w:t>7,520</w:t>
            </w:r>
          </w:p>
        </w:tc>
        <w:tc>
          <w:tcPr>
            <w:tcW w:w="1170" w:type="dxa"/>
          </w:tcPr>
          <w:p w:rsidR="0075578D" w:rsidRDefault="0075578D" w:rsidP="0075578D">
            <w:pPr>
              <w:jc w:val="right"/>
            </w:pPr>
            <w:r>
              <w:t>48.5%</w:t>
            </w:r>
          </w:p>
        </w:tc>
      </w:tr>
      <w:tr w:rsidR="0075578D" w:rsidTr="002F7CF6">
        <w:tc>
          <w:tcPr>
            <w:tcW w:w="1255" w:type="dxa"/>
          </w:tcPr>
          <w:p w:rsidR="0075578D" w:rsidRPr="0075578D" w:rsidRDefault="0075578D" w:rsidP="0075578D">
            <w:pPr>
              <w:rPr>
                <w:b/>
              </w:rPr>
            </w:pPr>
            <w:r w:rsidRPr="0075578D">
              <w:rPr>
                <w:b/>
              </w:rPr>
              <w:t>Unk</w:t>
            </w:r>
          </w:p>
        </w:tc>
        <w:tc>
          <w:tcPr>
            <w:tcW w:w="1260" w:type="dxa"/>
          </w:tcPr>
          <w:p w:rsidR="0075578D" w:rsidRPr="006912EB" w:rsidRDefault="0075578D" w:rsidP="0075578D">
            <w:pPr>
              <w:jc w:val="right"/>
            </w:pPr>
            <w:r w:rsidRPr="006912EB">
              <w:t>184</w:t>
            </w:r>
          </w:p>
        </w:tc>
        <w:tc>
          <w:tcPr>
            <w:tcW w:w="1170" w:type="dxa"/>
          </w:tcPr>
          <w:p w:rsidR="0075578D" w:rsidRPr="006912EB" w:rsidRDefault="0075578D" w:rsidP="0075578D">
            <w:pPr>
              <w:jc w:val="right"/>
            </w:pPr>
            <w:r w:rsidRPr="006912EB">
              <w:t>1.3%</w:t>
            </w:r>
          </w:p>
        </w:tc>
        <w:tc>
          <w:tcPr>
            <w:tcW w:w="1170" w:type="dxa"/>
          </w:tcPr>
          <w:p w:rsidR="0075578D" w:rsidRDefault="0075578D" w:rsidP="0075578D">
            <w:pPr>
              <w:jc w:val="right"/>
            </w:pPr>
            <w:r>
              <w:t>185</w:t>
            </w:r>
          </w:p>
        </w:tc>
        <w:tc>
          <w:tcPr>
            <w:tcW w:w="1170" w:type="dxa"/>
          </w:tcPr>
          <w:p w:rsidR="0075578D" w:rsidRDefault="0075578D" w:rsidP="0075578D">
            <w:pPr>
              <w:jc w:val="right"/>
            </w:pPr>
            <w:r>
              <w:t>1.2%</w:t>
            </w:r>
          </w:p>
        </w:tc>
      </w:tr>
      <w:tr w:rsidR="0075578D" w:rsidTr="002F7CF6">
        <w:tc>
          <w:tcPr>
            <w:tcW w:w="1255" w:type="dxa"/>
          </w:tcPr>
          <w:p w:rsidR="0075578D" w:rsidRPr="0075578D" w:rsidRDefault="0075578D" w:rsidP="0075578D">
            <w:pPr>
              <w:rPr>
                <w:b/>
              </w:rPr>
            </w:pPr>
            <w:r w:rsidRPr="0075578D">
              <w:rPr>
                <w:b/>
              </w:rPr>
              <w:t>SUM</w:t>
            </w:r>
          </w:p>
        </w:tc>
        <w:tc>
          <w:tcPr>
            <w:tcW w:w="1260" w:type="dxa"/>
          </w:tcPr>
          <w:p w:rsidR="0075578D" w:rsidRPr="006912EB" w:rsidRDefault="0075578D" w:rsidP="0075578D">
            <w:pPr>
              <w:jc w:val="right"/>
            </w:pPr>
            <w:r w:rsidRPr="006912EB">
              <w:t>14,248</w:t>
            </w:r>
          </w:p>
        </w:tc>
        <w:tc>
          <w:tcPr>
            <w:tcW w:w="1170" w:type="dxa"/>
          </w:tcPr>
          <w:p w:rsidR="0075578D" w:rsidRDefault="0075578D" w:rsidP="0075578D">
            <w:pPr>
              <w:jc w:val="right"/>
            </w:pPr>
          </w:p>
        </w:tc>
        <w:tc>
          <w:tcPr>
            <w:tcW w:w="1170" w:type="dxa"/>
          </w:tcPr>
          <w:p w:rsidR="0075578D" w:rsidRDefault="0075578D" w:rsidP="0075578D">
            <w:pPr>
              <w:jc w:val="right"/>
            </w:pPr>
            <w:r>
              <w:t>15,518</w:t>
            </w:r>
          </w:p>
        </w:tc>
        <w:tc>
          <w:tcPr>
            <w:tcW w:w="1170" w:type="dxa"/>
          </w:tcPr>
          <w:p w:rsidR="0075578D" w:rsidRDefault="0075578D" w:rsidP="0075578D">
            <w:pPr>
              <w:jc w:val="right"/>
            </w:pPr>
          </w:p>
        </w:tc>
      </w:tr>
    </w:tbl>
    <w:p w:rsidR="0075578D" w:rsidRDefault="0075578D" w:rsidP="0075578D">
      <w:pPr>
        <w:spacing w:after="0" w:line="240" w:lineRule="auto"/>
        <w:rPr>
          <w:rFonts w:cstheme="minorHAnsi"/>
        </w:rPr>
      </w:pPr>
      <w:r>
        <w:rPr>
          <w:rFonts w:cstheme="minorHAnsi"/>
        </w:rPr>
        <w:lastRenderedPageBreak/>
        <w:t>With a rise in total CTE Enrollment</w:t>
      </w:r>
      <w:r w:rsidR="006C6CA7">
        <w:rPr>
          <w:rFonts w:cstheme="minorHAnsi"/>
        </w:rPr>
        <w:t xml:space="preserve"> by 1,270 students</w:t>
      </w:r>
      <w:r>
        <w:rPr>
          <w:rFonts w:cstheme="minorHAnsi"/>
        </w:rPr>
        <w:t xml:space="preserve"> we see a rise in both male and female students between the 2014-15 and 2015-16 academic years.  The percentage of male, female, and unknown students in relation to total CTE Students does not change much.</w:t>
      </w:r>
    </w:p>
    <w:p w:rsidR="0075578D" w:rsidRPr="0075578D" w:rsidRDefault="0075578D" w:rsidP="0075578D">
      <w:pPr>
        <w:spacing w:after="0" w:line="240" w:lineRule="auto"/>
        <w:rPr>
          <w:rFonts w:cstheme="minorHAnsi"/>
        </w:rPr>
      </w:pP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DB008B">
        <w:rPr>
          <w:rFonts w:cstheme="minorHAnsi"/>
        </w:rPr>
        <w:t xml:space="preserve"> </w:t>
      </w:r>
      <w:r w:rsidR="00DB008B">
        <w:rPr>
          <w:rFonts w:cstheme="minorHAnsi"/>
          <w:b/>
        </w:rPr>
        <w:t>Does not apply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DB008B">
        <w:rPr>
          <w:rFonts w:cstheme="minorHAnsi"/>
        </w:rPr>
        <w:t xml:space="preserve"> </w:t>
      </w:r>
      <w:r w:rsidR="00DB008B" w:rsidRPr="00DB008B">
        <w:rPr>
          <w:rFonts w:cstheme="minorHAnsi"/>
          <w:b/>
        </w:rPr>
        <w:t>Does not apply</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tbl>
      <w:tblPr>
        <w:tblStyle w:val="TableGrid"/>
        <w:tblW w:w="0" w:type="auto"/>
        <w:tblInd w:w="360" w:type="dxa"/>
        <w:tblLook w:val="04A0" w:firstRow="1" w:lastRow="0" w:firstColumn="1" w:lastColumn="0" w:noHBand="0" w:noVBand="1"/>
      </w:tblPr>
      <w:tblGrid>
        <w:gridCol w:w="1885"/>
        <w:gridCol w:w="2520"/>
        <w:gridCol w:w="2700"/>
      </w:tblGrid>
      <w:tr w:rsidR="00DB008B" w:rsidRPr="00E92060" w:rsidTr="00E92060">
        <w:tc>
          <w:tcPr>
            <w:tcW w:w="7105" w:type="dxa"/>
            <w:gridSpan w:val="3"/>
            <w:shd w:val="clear" w:color="auto" w:fill="BFBFBF" w:themeFill="background1" w:themeFillShade="BF"/>
          </w:tcPr>
          <w:p w:rsidR="00DB008B" w:rsidRPr="00E92060" w:rsidRDefault="00DB008B" w:rsidP="00DB008B">
            <w:pPr>
              <w:pStyle w:val="ListParagraph"/>
              <w:ind w:left="0"/>
              <w:jc w:val="center"/>
              <w:rPr>
                <w:rFonts w:cstheme="minorHAnsi"/>
                <w:b/>
              </w:rPr>
            </w:pPr>
            <w:r w:rsidRPr="00E92060">
              <w:rPr>
                <w:rFonts w:cstheme="minorHAnsi"/>
                <w:b/>
              </w:rPr>
              <w:t>WORK EXPERIENCE</w:t>
            </w:r>
          </w:p>
        </w:tc>
      </w:tr>
      <w:tr w:rsidR="00DB008B" w:rsidRPr="00E92060" w:rsidTr="00E92060">
        <w:tc>
          <w:tcPr>
            <w:tcW w:w="1885" w:type="dxa"/>
          </w:tcPr>
          <w:p w:rsidR="00DB008B" w:rsidRPr="00E92060" w:rsidRDefault="00DB008B" w:rsidP="00DB008B">
            <w:pPr>
              <w:pStyle w:val="ListParagraph"/>
              <w:ind w:left="0"/>
              <w:rPr>
                <w:rFonts w:cstheme="minorHAnsi"/>
                <w:b/>
              </w:rPr>
            </w:pPr>
            <w:r w:rsidRPr="00E92060">
              <w:rPr>
                <w:rFonts w:cstheme="minorHAnsi"/>
                <w:b/>
              </w:rPr>
              <w:t>TERM</w:t>
            </w:r>
          </w:p>
        </w:tc>
        <w:tc>
          <w:tcPr>
            <w:tcW w:w="2520" w:type="dxa"/>
          </w:tcPr>
          <w:p w:rsidR="00DB008B" w:rsidRPr="00E92060" w:rsidRDefault="00DB008B" w:rsidP="00DB008B">
            <w:pPr>
              <w:pStyle w:val="ListParagraph"/>
              <w:ind w:left="0"/>
              <w:jc w:val="center"/>
              <w:rPr>
                <w:rFonts w:cstheme="minorHAnsi"/>
                <w:b/>
              </w:rPr>
            </w:pPr>
            <w:r w:rsidRPr="00E92060">
              <w:rPr>
                <w:rFonts w:cstheme="minorHAnsi"/>
                <w:b/>
              </w:rPr>
              <w:t>CENSUS COUNT</w:t>
            </w:r>
          </w:p>
        </w:tc>
        <w:tc>
          <w:tcPr>
            <w:tcW w:w="2700" w:type="dxa"/>
          </w:tcPr>
          <w:p w:rsidR="00DB008B" w:rsidRPr="00E92060" w:rsidRDefault="00DB008B" w:rsidP="00DB008B">
            <w:pPr>
              <w:pStyle w:val="ListParagraph"/>
              <w:ind w:left="0"/>
              <w:jc w:val="center"/>
              <w:rPr>
                <w:rFonts w:cstheme="minorHAnsi"/>
                <w:b/>
              </w:rPr>
            </w:pPr>
            <w:r w:rsidRPr="00E92060">
              <w:rPr>
                <w:rFonts w:cstheme="minorHAnsi"/>
                <w:b/>
              </w:rPr>
              <w:t>END OF SEMESTER COUNT</w:t>
            </w:r>
          </w:p>
        </w:tc>
      </w:tr>
      <w:tr w:rsidR="00DB008B" w:rsidTr="00E92060">
        <w:tc>
          <w:tcPr>
            <w:tcW w:w="1885" w:type="dxa"/>
          </w:tcPr>
          <w:p w:rsidR="00DB008B" w:rsidRDefault="001A2763" w:rsidP="00DB008B">
            <w:pPr>
              <w:pStyle w:val="ListParagraph"/>
              <w:ind w:left="0"/>
              <w:rPr>
                <w:rFonts w:cstheme="minorHAnsi"/>
              </w:rPr>
            </w:pPr>
            <w:r>
              <w:rPr>
                <w:rFonts w:cstheme="minorHAnsi"/>
              </w:rPr>
              <w:t>Summer ‘14</w:t>
            </w:r>
          </w:p>
        </w:tc>
        <w:tc>
          <w:tcPr>
            <w:tcW w:w="2520" w:type="dxa"/>
          </w:tcPr>
          <w:p w:rsidR="00DB008B" w:rsidRDefault="001A2763" w:rsidP="001A2763">
            <w:pPr>
              <w:pStyle w:val="ListParagraph"/>
              <w:ind w:left="0"/>
              <w:jc w:val="right"/>
              <w:rPr>
                <w:rFonts w:cstheme="minorHAnsi"/>
              </w:rPr>
            </w:pPr>
            <w:r>
              <w:rPr>
                <w:rFonts w:cstheme="minorHAnsi"/>
              </w:rPr>
              <w:t>75</w:t>
            </w:r>
          </w:p>
        </w:tc>
        <w:tc>
          <w:tcPr>
            <w:tcW w:w="2700" w:type="dxa"/>
          </w:tcPr>
          <w:p w:rsidR="00DB008B" w:rsidRDefault="001A2763" w:rsidP="001A2763">
            <w:pPr>
              <w:pStyle w:val="ListParagraph"/>
              <w:ind w:left="0"/>
              <w:jc w:val="right"/>
              <w:rPr>
                <w:rFonts w:cstheme="minorHAnsi"/>
              </w:rPr>
            </w:pPr>
            <w:r>
              <w:rPr>
                <w:rFonts w:cstheme="minorHAnsi"/>
              </w:rPr>
              <w:t>52</w:t>
            </w:r>
          </w:p>
        </w:tc>
      </w:tr>
      <w:tr w:rsidR="00DB008B" w:rsidTr="00E92060">
        <w:tc>
          <w:tcPr>
            <w:tcW w:w="1885" w:type="dxa"/>
          </w:tcPr>
          <w:p w:rsidR="00DB008B" w:rsidRDefault="001A2763" w:rsidP="00DB008B">
            <w:pPr>
              <w:pStyle w:val="ListParagraph"/>
              <w:ind w:left="0"/>
              <w:rPr>
                <w:rFonts w:cstheme="minorHAnsi"/>
              </w:rPr>
            </w:pPr>
            <w:r>
              <w:rPr>
                <w:rFonts w:cstheme="minorHAnsi"/>
              </w:rPr>
              <w:t>Fall ‘14</w:t>
            </w:r>
          </w:p>
        </w:tc>
        <w:tc>
          <w:tcPr>
            <w:tcW w:w="2520" w:type="dxa"/>
          </w:tcPr>
          <w:p w:rsidR="00DB008B" w:rsidRDefault="001A2763" w:rsidP="001A2763">
            <w:pPr>
              <w:pStyle w:val="ListParagraph"/>
              <w:ind w:left="0"/>
              <w:jc w:val="right"/>
              <w:rPr>
                <w:rFonts w:cstheme="minorHAnsi"/>
              </w:rPr>
            </w:pPr>
            <w:r>
              <w:rPr>
                <w:rFonts w:cstheme="minorHAnsi"/>
              </w:rPr>
              <w:t>166</w:t>
            </w:r>
          </w:p>
        </w:tc>
        <w:tc>
          <w:tcPr>
            <w:tcW w:w="2700" w:type="dxa"/>
          </w:tcPr>
          <w:p w:rsidR="00DB008B" w:rsidRDefault="001A2763" w:rsidP="001A2763">
            <w:pPr>
              <w:pStyle w:val="ListParagraph"/>
              <w:ind w:left="0"/>
              <w:jc w:val="right"/>
              <w:rPr>
                <w:rFonts w:cstheme="minorHAnsi"/>
              </w:rPr>
            </w:pPr>
            <w:r>
              <w:rPr>
                <w:rFonts w:cstheme="minorHAnsi"/>
              </w:rPr>
              <w:t>124</w:t>
            </w:r>
          </w:p>
        </w:tc>
      </w:tr>
      <w:tr w:rsidR="00DB008B" w:rsidTr="00E92060">
        <w:tc>
          <w:tcPr>
            <w:tcW w:w="1885" w:type="dxa"/>
          </w:tcPr>
          <w:p w:rsidR="00DB008B" w:rsidRDefault="001A2763" w:rsidP="00DB008B">
            <w:pPr>
              <w:pStyle w:val="ListParagraph"/>
              <w:ind w:left="0"/>
              <w:rPr>
                <w:rFonts w:cstheme="minorHAnsi"/>
              </w:rPr>
            </w:pPr>
            <w:r>
              <w:rPr>
                <w:rFonts w:cstheme="minorHAnsi"/>
              </w:rPr>
              <w:t>Spring 15’</w:t>
            </w:r>
          </w:p>
        </w:tc>
        <w:tc>
          <w:tcPr>
            <w:tcW w:w="2520" w:type="dxa"/>
          </w:tcPr>
          <w:p w:rsidR="00DB008B" w:rsidRDefault="001A2763" w:rsidP="001A2763">
            <w:pPr>
              <w:pStyle w:val="ListParagraph"/>
              <w:ind w:left="0"/>
              <w:jc w:val="right"/>
              <w:rPr>
                <w:rFonts w:cstheme="minorHAnsi"/>
              </w:rPr>
            </w:pPr>
            <w:r>
              <w:rPr>
                <w:rFonts w:cstheme="minorHAnsi"/>
              </w:rPr>
              <w:t>135</w:t>
            </w:r>
          </w:p>
        </w:tc>
        <w:tc>
          <w:tcPr>
            <w:tcW w:w="2700" w:type="dxa"/>
          </w:tcPr>
          <w:p w:rsidR="00DB008B" w:rsidRDefault="001A2763" w:rsidP="001A2763">
            <w:pPr>
              <w:pStyle w:val="ListParagraph"/>
              <w:ind w:left="0"/>
              <w:jc w:val="right"/>
              <w:rPr>
                <w:rFonts w:cstheme="minorHAnsi"/>
              </w:rPr>
            </w:pPr>
            <w:r>
              <w:rPr>
                <w:rFonts w:cstheme="minorHAnsi"/>
              </w:rPr>
              <w:t>123</w:t>
            </w:r>
          </w:p>
        </w:tc>
      </w:tr>
      <w:tr w:rsidR="00DB008B" w:rsidTr="00E92060">
        <w:tc>
          <w:tcPr>
            <w:tcW w:w="1885" w:type="dxa"/>
          </w:tcPr>
          <w:p w:rsidR="00DB008B" w:rsidRDefault="001A2763" w:rsidP="00DB008B">
            <w:pPr>
              <w:pStyle w:val="ListParagraph"/>
              <w:ind w:left="0"/>
              <w:rPr>
                <w:rFonts w:cstheme="minorHAnsi"/>
              </w:rPr>
            </w:pPr>
            <w:r>
              <w:rPr>
                <w:rFonts w:cstheme="minorHAnsi"/>
              </w:rPr>
              <w:t>Summer 15’</w:t>
            </w:r>
          </w:p>
        </w:tc>
        <w:tc>
          <w:tcPr>
            <w:tcW w:w="2520" w:type="dxa"/>
          </w:tcPr>
          <w:p w:rsidR="00DB008B" w:rsidRDefault="001A2763" w:rsidP="001A2763">
            <w:pPr>
              <w:pStyle w:val="ListParagraph"/>
              <w:ind w:left="0"/>
              <w:jc w:val="right"/>
              <w:rPr>
                <w:rFonts w:cstheme="minorHAnsi"/>
              </w:rPr>
            </w:pPr>
            <w:r>
              <w:rPr>
                <w:rFonts w:cstheme="minorHAnsi"/>
              </w:rPr>
              <w:t>85</w:t>
            </w:r>
          </w:p>
        </w:tc>
        <w:tc>
          <w:tcPr>
            <w:tcW w:w="2700" w:type="dxa"/>
          </w:tcPr>
          <w:p w:rsidR="00DB008B" w:rsidRDefault="001A2763" w:rsidP="001A2763">
            <w:pPr>
              <w:pStyle w:val="ListParagraph"/>
              <w:ind w:left="0"/>
              <w:jc w:val="right"/>
              <w:rPr>
                <w:rFonts w:cstheme="minorHAnsi"/>
              </w:rPr>
            </w:pPr>
            <w:r>
              <w:rPr>
                <w:rFonts w:cstheme="minorHAnsi"/>
              </w:rPr>
              <w:t>55</w:t>
            </w:r>
          </w:p>
        </w:tc>
      </w:tr>
      <w:tr w:rsidR="00DB008B" w:rsidTr="00E92060">
        <w:tc>
          <w:tcPr>
            <w:tcW w:w="1885" w:type="dxa"/>
          </w:tcPr>
          <w:p w:rsidR="00DB008B" w:rsidRDefault="001A2763" w:rsidP="00DB008B">
            <w:pPr>
              <w:pStyle w:val="ListParagraph"/>
              <w:ind w:left="0"/>
              <w:rPr>
                <w:rFonts w:cstheme="minorHAnsi"/>
              </w:rPr>
            </w:pPr>
            <w:r>
              <w:rPr>
                <w:rFonts w:cstheme="minorHAnsi"/>
              </w:rPr>
              <w:t>Fall 15’</w:t>
            </w:r>
          </w:p>
        </w:tc>
        <w:tc>
          <w:tcPr>
            <w:tcW w:w="2520" w:type="dxa"/>
          </w:tcPr>
          <w:p w:rsidR="00DB008B" w:rsidRDefault="001A2763" w:rsidP="001A2763">
            <w:pPr>
              <w:pStyle w:val="ListParagraph"/>
              <w:ind w:left="0"/>
              <w:jc w:val="right"/>
              <w:rPr>
                <w:rFonts w:cstheme="minorHAnsi"/>
              </w:rPr>
            </w:pPr>
            <w:r>
              <w:rPr>
                <w:rFonts w:cstheme="minorHAnsi"/>
              </w:rPr>
              <w:t>149</w:t>
            </w:r>
          </w:p>
        </w:tc>
        <w:tc>
          <w:tcPr>
            <w:tcW w:w="2700" w:type="dxa"/>
          </w:tcPr>
          <w:p w:rsidR="00DB008B" w:rsidRDefault="001A2763" w:rsidP="001A2763">
            <w:pPr>
              <w:pStyle w:val="ListParagraph"/>
              <w:ind w:left="0"/>
              <w:jc w:val="right"/>
              <w:rPr>
                <w:rFonts w:cstheme="minorHAnsi"/>
              </w:rPr>
            </w:pPr>
            <w:r>
              <w:rPr>
                <w:rFonts w:cstheme="minorHAnsi"/>
              </w:rPr>
              <w:t>131</w:t>
            </w:r>
          </w:p>
        </w:tc>
      </w:tr>
      <w:tr w:rsidR="00DB008B" w:rsidTr="00E92060">
        <w:tc>
          <w:tcPr>
            <w:tcW w:w="1885" w:type="dxa"/>
          </w:tcPr>
          <w:p w:rsidR="00DB008B" w:rsidRDefault="001A2763" w:rsidP="00DB008B">
            <w:pPr>
              <w:pStyle w:val="ListParagraph"/>
              <w:ind w:left="0"/>
              <w:rPr>
                <w:rFonts w:cstheme="minorHAnsi"/>
              </w:rPr>
            </w:pPr>
            <w:r>
              <w:rPr>
                <w:rFonts w:cstheme="minorHAnsi"/>
              </w:rPr>
              <w:t>Spring 16’</w:t>
            </w:r>
          </w:p>
        </w:tc>
        <w:tc>
          <w:tcPr>
            <w:tcW w:w="2520" w:type="dxa"/>
          </w:tcPr>
          <w:p w:rsidR="00DB008B" w:rsidRDefault="001A2763" w:rsidP="001A2763">
            <w:pPr>
              <w:pStyle w:val="ListParagraph"/>
              <w:ind w:left="0"/>
              <w:jc w:val="right"/>
              <w:rPr>
                <w:rFonts w:cstheme="minorHAnsi"/>
              </w:rPr>
            </w:pPr>
            <w:r>
              <w:rPr>
                <w:rFonts w:cstheme="minorHAnsi"/>
              </w:rPr>
              <w:t>171</w:t>
            </w:r>
          </w:p>
        </w:tc>
        <w:tc>
          <w:tcPr>
            <w:tcW w:w="2700" w:type="dxa"/>
          </w:tcPr>
          <w:p w:rsidR="00DB008B" w:rsidRDefault="001A2763" w:rsidP="001A2763">
            <w:pPr>
              <w:pStyle w:val="ListParagraph"/>
              <w:ind w:left="0"/>
              <w:jc w:val="right"/>
              <w:rPr>
                <w:rFonts w:cstheme="minorHAnsi"/>
              </w:rPr>
            </w:pPr>
            <w:r>
              <w:rPr>
                <w:rFonts w:cstheme="minorHAnsi"/>
              </w:rPr>
              <w:t>147</w:t>
            </w:r>
          </w:p>
        </w:tc>
      </w:tr>
      <w:tr w:rsidR="001A2763" w:rsidTr="00E92060">
        <w:tc>
          <w:tcPr>
            <w:tcW w:w="1885" w:type="dxa"/>
          </w:tcPr>
          <w:p w:rsidR="001A2763" w:rsidRDefault="001A2763" w:rsidP="00DB008B">
            <w:pPr>
              <w:pStyle w:val="ListParagraph"/>
              <w:ind w:left="0"/>
              <w:rPr>
                <w:rFonts w:cstheme="minorHAnsi"/>
              </w:rPr>
            </w:pPr>
            <w:r>
              <w:rPr>
                <w:rFonts w:cstheme="minorHAnsi"/>
              </w:rPr>
              <w:t>Summer 16’</w:t>
            </w:r>
          </w:p>
        </w:tc>
        <w:tc>
          <w:tcPr>
            <w:tcW w:w="2520" w:type="dxa"/>
          </w:tcPr>
          <w:p w:rsidR="001A2763" w:rsidRDefault="001A2763" w:rsidP="001A2763">
            <w:pPr>
              <w:pStyle w:val="ListParagraph"/>
              <w:ind w:left="0"/>
              <w:jc w:val="right"/>
              <w:rPr>
                <w:rFonts w:cstheme="minorHAnsi"/>
              </w:rPr>
            </w:pPr>
            <w:r>
              <w:rPr>
                <w:rFonts w:cstheme="minorHAnsi"/>
              </w:rPr>
              <w:t>59</w:t>
            </w:r>
          </w:p>
        </w:tc>
        <w:tc>
          <w:tcPr>
            <w:tcW w:w="2700" w:type="dxa"/>
          </w:tcPr>
          <w:p w:rsidR="001A2763" w:rsidRDefault="001A2763" w:rsidP="001A2763">
            <w:pPr>
              <w:pStyle w:val="ListParagraph"/>
              <w:ind w:left="0"/>
              <w:jc w:val="right"/>
              <w:rPr>
                <w:rFonts w:cstheme="minorHAnsi"/>
              </w:rPr>
            </w:pPr>
            <w:r>
              <w:rPr>
                <w:rFonts w:cstheme="minorHAnsi"/>
              </w:rPr>
              <w:t>44</w:t>
            </w:r>
          </w:p>
        </w:tc>
      </w:tr>
    </w:tbl>
    <w:p w:rsidR="00DB008B" w:rsidRDefault="00DB008B" w:rsidP="00DB008B">
      <w:pPr>
        <w:pStyle w:val="ListParagraph"/>
        <w:spacing w:after="0" w:line="240" w:lineRule="auto"/>
        <w:ind w:left="360"/>
        <w:rPr>
          <w:rFonts w:cstheme="minorHAnsi"/>
        </w:rPr>
      </w:pPr>
    </w:p>
    <w:p w:rsidR="001A2763" w:rsidRDefault="001A2763" w:rsidP="00DB008B">
      <w:pPr>
        <w:pStyle w:val="ListParagraph"/>
        <w:spacing w:after="0" w:line="240" w:lineRule="auto"/>
        <w:ind w:left="360"/>
        <w:rPr>
          <w:rFonts w:cstheme="minorHAnsi"/>
        </w:rPr>
      </w:pPr>
      <w:r>
        <w:rPr>
          <w:rFonts w:cstheme="minorHAnsi"/>
        </w:rPr>
        <w:t>Du</w:t>
      </w:r>
      <w:r w:rsidR="005A7513">
        <w:rPr>
          <w:rFonts w:cstheme="minorHAnsi"/>
        </w:rPr>
        <w:t>ring the Summer 2016 session,</w:t>
      </w:r>
      <w:r>
        <w:rPr>
          <w:rFonts w:cstheme="minorHAnsi"/>
        </w:rPr>
        <w:t xml:space="preserve"> work experience courses were </w:t>
      </w:r>
      <w:r w:rsidR="005A7513">
        <w:rPr>
          <w:rFonts w:cstheme="minorHAnsi"/>
        </w:rPr>
        <w:t xml:space="preserve">changed from a general work experience </w:t>
      </w:r>
      <w:r>
        <w:rPr>
          <w:rFonts w:cstheme="minorHAnsi"/>
        </w:rPr>
        <w:t xml:space="preserve">to major specific work experience courses. </w:t>
      </w:r>
      <w:r w:rsidR="005A7513">
        <w:rPr>
          <w:rFonts w:cstheme="minorHAnsi"/>
        </w:rPr>
        <w:t xml:space="preserve"> Multiple majors were added under the Agriculture, Culinary and Business departments.  The faculty of record is currently in the process of adding additional majors.       </w:t>
      </w:r>
    </w:p>
    <w:p w:rsidR="00E92060" w:rsidRDefault="00E92060" w:rsidP="00DB008B">
      <w:pPr>
        <w:pStyle w:val="ListParagraph"/>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1975"/>
        <w:gridCol w:w="2880"/>
        <w:gridCol w:w="2250"/>
      </w:tblGrid>
      <w:tr w:rsidR="00E92060" w:rsidTr="00E92060">
        <w:tc>
          <w:tcPr>
            <w:tcW w:w="7105" w:type="dxa"/>
            <w:gridSpan w:val="3"/>
            <w:shd w:val="clear" w:color="auto" w:fill="BFBFBF" w:themeFill="background1" w:themeFillShade="BF"/>
          </w:tcPr>
          <w:p w:rsidR="00E92060" w:rsidRPr="00E92060" w:rsidRDefault="00E92060" w:rsidP="00E92060">
            <w:pPr>
              <w:pStyle w:val="ListParagraph"/>
              <w:ind w:left="0"/>
              <w:jc w:val="center"/>
              <w:rPr>
                <w:rFonts w:cstheme="minorHAnsi"/>
                <w:b/>
              </w:rPr>
            </w:pPr>
            <w:r w:rsidRPr="00E92060">
              <w:rPr>
                <w:rFonts w:cstheme="minorHAnsi"/>
                <w:b/>
              </w:rPr>
              <w:t>Educational Advisor Appointments</w:t>
            </w:r>
            <w:r>
              <w:rPr>
                <w:rFonts w:cstheme="minorHAnsi"/>
                <w:b/>
              </w:rPr>
              <w:t xml:space="preserve"> and Outreach</w:t>
            </w:r>
          </w:p>
        </w:tc>
      </w:tr>
      <w:tr w:rsidR="00E92060" w:rsidTr="00E92060">
        <w:tc>
          <w:tcPr>
            <w:tcW w:w="1975" w:type="dxa"/>
          </w:tcPr>
          <w:p w:rsidR="00E92060" w:rsidRPr="00E92060" w:rsidRDefault="00E92060" w:rsidP="00E92060">
            <w:pPr>
              <w:pStyle w:val="ListParagraph"/>
              <w:ind w:left="0"/>
              <w:jc w:val="center"/>
              <w:rPr>
                <w:rFonts w:cstheme="minorHAnsi"/>
                <w:b/>
              </w:rPr>
            </w:pPr>
            <w:r w:rsidRPr="00E92060">
              <w:rPr>
                <w:rFonts w:cstheme="minorHAnsi"/>
                <w:b/>
              </w:rPr>
              <w:t>Academic Year</w:t>
            </w:r>
          </w:p>
        </w:tc>
        <w:tc>
          <w:tcPr>
            <w:tcW w:w="2880" w:type="dxa"/>
          </w:tcPr>
          <w:p w:rsidR="00E92060" w:rsidRPr="00E92060" w:rsidRDefault="00E92060" w:rsidP="00DB008B">
            <w:pPr>
              <w:pStyle w:val="ListParagraph"/>
              <w:ind w:left="0"/>
              <w:rPr>
                <w:rFonts w:cstheme="minorHAnsi"/>
                <w:b/>
              </w:rPr>
            </w:pPr>
            <w:r w:rsidRPr="00E92060">
              <w:rPr>
                <w:rFonts w:cstheme="minorHAnsi"/>
                <w:b/>
              </w:rPr>
              <w:t>Appointments and Walk-Ins</w:t>
            </w:r>
          </w:p>
        </w:tc>
        <w:tc>
          <w:tcPr>
            <w:tcW w:w="2250" w:type="dxa"/>
          </w:tcPr>
          <w:p w:rsidR="00E92060" w:rsidRPr="00E92060" w:rsidRDefault="00E92060" w:rsidP="00E92060">
            <w:pPr>
              <w:pStyle w:val="ListParagraph"/>
              <w:ind w:left="0"/>
              <w:jc w:val="center"/>
              <w:rPr>
                <w:rFonts w:cstheme="minorHAnsi"/>
                <w:b/>
              </w:rPr>
            </w:pPr>
            <w:r w:rsidRPr="00E92060">
              <w:rPr>
                <w:rFonts w:cstheme="minorHAnsi"/>
                <w:b/>
              </w:rPr>
              <w:t>Outreach Activities</w:t>
            </w:r>
          </w:p>
        </w:tc>
      </w:tr>
      <w:tr w:rsidR="00E92060" w:rsidTr="00E92060">
        <w:tc>
          <w:tcPr>
            <w:tcW w:w="1975" w:type="dxa"/>
          </w:tcPr>
          <w:p w:rsidR="00E92060" w:rsidRDefault="00E92060" w:rsidP="00DB008B">
            <w:pPr>
              <w:pStyle w:val="ListParagraph"/>
              <w:ind w:left="0"/>
              <w:rPr>
                <w:rFonts w:cstheme="minorHAnsi"/>
              </w:rPr>
            </w:pPr>
            <w:r>
              <w:rPr>
                <w:rFonts w:cstheme="minorHAnsi"/>
              </w:rPr>
              <w:t>2014-2015</w:t>
            </w:r>
          </w:p>
        </w:tc>
        <w:tc>
          <w:tcPr>
            <w:tcW w:w="2880" w:type="dxa"/>
          </w:tcPr>
          <w:p w:rsidR="00E92060" w:rsidRDefault="00E92060" w:rsidP="00E92060">
            <w:pPr>
              <w:pStyle w:val="ListParagraph"/>
              <w:ind w:left="0"/>
              <w:jc w:val="right"/>
              <w:rPr>
                <w:rFonts w:cstheme="minorHAnsi"/>
              </w:rPr>
            </w:pPr>
            <w:r>
              <w:rPr>
                <w:rFonts w:cstheme="minorHAnsi"/>
              </w:rPr>
              <w:t>2,848</w:t>
            </w:r>
          </w:p>
        </w:tc>
        <w:tc>
          <w:tcPr>
            <w:tcW w:w="2250" w:type="dxa"/>
          </w:tcPr>
          <w:p w:rsidR="00E92060" w:rsidRDefault="00E3454F" w:rsidP="00E92060">
            <w:pPr>
              <w:pStyle w:val="ListParagraph"/>
              <w:ind w:left="0"/>
              <w:jc w:val="right"/>
              <w:rPr>
                <w:rFonts w:cstheme="minorHAnsi"/>
              </w:rPr>
            </w:pPr>
            <w:r>
              <w:rPr>
                <w:rFonts w:cstheme="minorHAnsi"/>
              </w:rPr>
              <w:t>21</w:t>
            </w:r>
          </w:p>
        </w:tc>
      </w:tr>
      <w:tr w:rsidR="00E92060" w:rsidTr="00E92060">
        <w:tc>
          <w:tcPr>
            <w:tcW w:w="1975" w:type="dxa"/>
          </w:tcPr>
          <w:p w:rsidR="00E92060" w:rsidRDefault="00E92060" w:rsidP="00DB008B">
            <w:pPr>
              <w:pStyle w:val="ListParagraph"/>
              <w:ind w:left="0"/>
              <w:rPr>
                <w:rFonts w:cstheme="minorHAnsi"/>
              </w:rPr>
            </w:pPr>
            <w:r>
              <w:rPr>
                <w:rFonts w:cstheme="minorHAnsi"/>
              </w:rPr>
              <w:t>2015-2016</w:t>
            </w:r>
          </w:p>
        </w:tc>
        <w:tc>
          <w:tcPr>
            <w:tcW w:w="2880" w:type="dxa"/>
          </w:tcPr>
          <w:p w:rsidR="00E92060" w:rsidRDefault="00E92060" w:rsidP="00E92060">
            <w:pPr>
              <w:pStyle w:val="ListParagraph"/>
              <w:ind w:left="0"/>
              <w:jc w:val="right"/>
              <w:rPr>
                <w:rFonts w:cstheme="minorHAnsi"/>
              </w:rPr>
            </w:pPr>
            <w:r>
              <w:rPr>
                <w:rFonts w:cstheme="minorHAnsi"/>
              </w:rPr>
              <w:t>2,251</w:t>
            </w:r>
          </w:p>
        </w:tc>
        <w:tc>
          <w:tcPr>
            <w:tcW w:w="2250" w:type="dxa"/>
          </w:tcPr>
          <w:p w:rsidR="00E92060" w:rsidRDefault="00E3454F" w:rsidP="00E92060">
            <w:pPr>
              <w:pStyle w:val="ListParagraph"/>
              <w:ind w:left="0"/>
              <w:jc w:val="right"/>
              <w:rPr>
                <w:rFonts w:cstheme="minorHAnsi"/>
              </w:rPr>
            </w:pPr>
            <w:r>
              <w:rPr>
                <w:rFonts w:cstheme="minorHAnsi"/>
              </w:rPr>
              <w:t>36</w:t>
            </w:r>
          </w:p>
        </w:tc>
      </w:tr>
    </w:tbl>
    <w:p w:rsidR="00E92060" w:rsidRDefault="00E92060" w:rsidP="00DB008B">
      <w:pPr>
        <w:pStyle w:val="ListParagraph"/>
        <w:spacing w:after="0" w:line="240" w:lineRule="auto"/>
        <w:ind w:left="360"/>
        <w:rPr>
          <w:rFonts w:cstheme="minorHAnsi"/>
        </w:rPr>
      </w:pPr>
    </w:p>
    <w:p w:rsidR="00E92060" w:rsidRDefault="00E92060" w:rsidP="00DB008B">
      <w:pPr>
        <w:pStyle w:val="ListParagraph"/>
        <w:spacing w:after="0" w:line="240" w:lineRule="auto"/>
        <w:ind w:left="360"/>
        <w:rPr>
          <w:rFonts w:cstheme="minorHAnsi"/>
        </w:rPr>
      </w:pPr>
      <w:r>
        <w:rPr>
          <w:rFonts w:cstheme="minorHAnsi"/>
        </w:rPr>
        <w:t xml:space="preserve">The three CTE Educational Advisors in FACE 16 continue to offer advising services to our CTE course enrolled students.  </w:t>
      </w:r>
      <w:r w:rsidR="00E3454F">
        <w:rPr>
          <w:rFonts w:cstheme="minorHAnsi"/>
        </w:rPr>
        <w:t xml:space="preserve">On average the advisors see 150-200 students a month.  During the 2015-16 academic year, advisors placed focus on </w:t>
      </w:r>
      <w:r w:rsidR="002F19BE">
        <w:rPr>
          <w:rFonts w:cstheme="minorHAnsi"/>
        </w:rPr>
        <w:t xml:space="preserve">CTE specific </w:t>
      </w:r>
      <w:r w:rsidR="00E3454F">
        <w:rPr>
          <w:rFonts w:cstheme="minorHAnsi"/>
        </w:rPr>
        <w:t xml:space="preserve">outreach </w:t>
      </w:r>
      <w:r w:rsidR="002F19BE">
        <w:rPr>
          <w:rFonts w:cstheme="minorHAnsi"/>
        </w:rPr>
        <w:t xml:space="preserve">opportunities </w:t>
      </w:r>
      <w:r w:rsidR="00E3454F">
        <w:rPr>
          <w:rFonts w:cstheme="minorHAnsi"/>
        </w:rPr>
        <w:t xml:space="preserve">and classroom presentations so you will notice a drop in the amount of appointments seen.  </w:t>
      </w:r>
      <w:r w:rsidR="001333AD">
        <w:rPr>
          <w:rFonts w:cstheme="minorHAnsi"/>
        </w:rPr>
        <w:t>For the 2016-17 academic year we have assigned each of the advisors majors.  We are switching to major specific advising so we can better serve our students.</w:t>
      </w:r>
    </w:p>
    <w:p w:rsidR="008168EC" w:rsidRDefault="008168EC" w:rsidP="00DB008B">
      <w:pPr>
        <w:pStyle w:val="ListParagraph"/>
        <w:spacing w:after="0" w:line="240" w:lineRule="auto"/>
        <w:ind w:left="360"/>
        <w:rPr>
          <w:rFonts w:cstheme="minorHAnsi"/>
        </w:rPr>
      </w:pPr>
    </w:p>
    <w:tbl>
      <w:tblPr>
        <w:tblW w:w="0" w:type="auto"/>
        <w:tblCellMar>
          <w:left w:w="0" w:type="dxa"/>
          <w:right w:w="0" w:type="dxa"/>
        </w:tblCellMar>
        <w:tblLook w:val="04A0" w:firstRow="1" w:lastRow="0" w:firstColumn="1" w:lastColumn="0" w:noHBand="0" w:noVBand="1"/>
      </w:tblPr>
      <w:tblGrid>
        <w:gridCol w:w="3116"/>
        <w:gridCol w:w="3117"/>
        <w:gridCol w:w="3117"/>
      </w:tblGrid>
      <w:tr w:rsidR="008168EC" w:rsidRPr="008168EC" w:rsidTr="008168EC">
        <w:tc>
          <w:tcPr>
            <w:tcW w:w="935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8168EC" w:rsidRPr="008168EC" w:rsidRDefault="008168EC" w:rsidP="007D3288">
            <w:pPr>
              <w:spacing w:after="0" w:line="240" w:lineRule="auto"/>
              <w:jc w:val="center"/>
              <w:rPr>
                <w:b/>
              </w:rPr>
            </w:pPr>
            <w:r>
              <w:rPr>
                <w:b/>
              </w:rPr>
              <w:t>Internship</w:t>
            </w:r>
            <w:r w:rsidR="007D3288">
              <w:rPr>
                <w:b/>
              </w:rPr>
              <w:t xml:space="preserve"> Program</w:t>
            </w:r>
          </w:p>
        </w:tc>
      </w:tr>
      <w:tr w:rsidR="008168EC" w:rsidRPr="008168EC" w:rsidTr="008168EC">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center"/>
              <w:rPr>
                <w:b/>
              </w:rPr>
            </w:pPr>
            <w:r w:rsidRPr="008168EC">
              <w:rPr>
                <w:b/>
              </w:rPr>
              <w:t>2014/15</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center"/>
              <w:rPr>
                <w:b/>
              </w:rPr>
            </w:pPr>
            <w:r w:rsidRPr="008168EC">
              <w:rPr>
                <w:b/>
              </w:rPr>
              <w:t>Internship Placements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8EC" w:rsidRPr="008168EC" w:rsidRDefault="007D3288" w:rsidP="008168EC">
            <w:pPr>
              <w:spacing w:after="0" w:line="240" w:lineRule="auto"/>
              <w:jc w:val="center"/>
              <w:rPr>
                <w:b/>
              </w:rPr>
            </w:pPr>
            <w:r>
              <w:rPr>
                <w:b/>
              </w:rPr>
              <w:t xml:space="preserve">New </w:t>
            </w:r>
            <w:r w:rsidR="008168EC" w:rsidRPr="008168EC">
              <w:rPr>
                <w:b/>
              </w:rPr>
              <w:t>Sites Developed</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pPr>
            <w:r w:rsidRPr="008168EC">
              <w:t>Summer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pPr>
            <w:r w:rsidRPr="008168EC">
              <w:t>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pPr>
            <w:r w:rsidRPr="008168EC">
              <w:t>2</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pPr>
            <w:r w:rsidRPr="008168EC">
              <w:t>Fall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pPr>
            <w:r w:rsidRPr="008168EC">
              <w:t>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pPr>
            <w:r w:rsidRPr="008168EC">
              <w:t>5</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pPr>
            <w:r w:rsidRPr="008168EC">
              <w:t>Spring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pPr>
            <w:r w:rsidRPr="008168EC">
              <w:t>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pPr>
            <w:r w:rsidRPr="008168EC">
              <w:t>5</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rPr>
                <w:b/>
              </w:rPr>
            </w:pPr>
            <w:r w:rsidRPr="008168EC">
              <w:rPr>
                <w:b/>
              </w:rPr>
              <w:t>Total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rPr>
                <w:b/>
              </w:rPr>
            </w:pPr>
            <w:r w:rsidRPr="008168EC">
              <w:rPr>
                <w:b/>
              </w:rPr>
              <w:t>13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8168EC">
            <w:pPr>
              <w:spacing w:after="0" w:line="240" w:lineRule="auto"/>
              <w:jc w:val="right"/>
              <w:rPr>
                <w:b/>
              </w:rPr>
            </w:pPr>
            <w:r w:rsidRPr="008168EC">
              <w:rPr>
                <w:b/>
              </w:rPr>
              <w:t>12</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center"/>
              <w:rPr>
                <w:b/>
              </w:rPr>
            </w:pPr>
            <w:r w:rsidRPr="008168EC">
              <w:rPr>
                <w:b/>
              </w:rPr>
              <w:lastRenderedPageBreak/>
              <w:t>2015/16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center"/>
              <w:rPr>
                <w:b/>
              </w:rPr>
            </w:pPr>
            <w:r w:rsidRPr="008168EC">
              <w:rPr>
                <w:b/>
              </w:rPr>
              <w:t>Internship Placements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7D3288" w:rsidP="007D3288">
            <w:pPr>
              <w:spacing w:after="0" w:line="240" w:lineRule="auto"/>
              <w:jc w:val="center"/>
              <w:rPr>
                <w:b/>
              </w:rPr>
            </w:pPr>
            <w:r>
              <w:rPr>
                <w:b/>
              </w:rPr>
              <w:t xml:space="preserve">New </w:t>
            </w:r>
            <w:r w:rsidR="008168EC" w:rsidRPr="008168EC">
              <w:rPr>
                <w:b/>
              </w:rPr>
              <w:t>Sites Developed</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rPr>
                <w:b/>
              </w:rPr>
            </w:pPr>
            <w:r w:rsidRPr="008168EC">
              <w:rPr>
                <w:b/>
              </w:rPr>
              <w:t>Summer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2</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rPr>
                <w:b/>
              </w:rPr>
            </w:pPr>
            <w:r w:rsidRPr="008168EC">
              <w:rPr>
                <w:b/>
              </w:rPr>
              <w:t>Fall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6</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rPr>
                <w:b/>
              </w:rPr>
            </w:pPr>
            <w:r w:rsidRPr="008168EC">
              <w:rPr>
                <w:b/>
              </w:rPr>
              <w:t>Spring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6</w:t>
            </w:r>
          </w:p>
        </w:tc>
      </w:tr>
      <w:tr w:rsidR="008168EC" w:rsidRPr="008168EC" w:rsidTr="008168E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rPr>
                <w:b/>
              </w:rPr>
            </w:pPr>
            <w:r w:rsidRPr="008168EC">
              <w:rPr>
                <w:b/>
              </w:rPr>
              <w:t>Total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14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168EC" w:rsidRPr="008168EC" w:rsidRDefault="008168EC" w:rsidP="007D3288">
            <w:pPr>
              <w:spacing w:after="0" w:line="240" w:lineRule="auto"/>
              <w:jc w:val="right"/>
              <w:rPr>
                <w:b/>
              </w:rPr>
            </w:pPr>
            <w:r w:rsidRPr="008168EC">
              <w:rPr>
                <w:b/>
              </w:rPr>
              <w:t>14</w:t>
            </w:r>
          </w:p>
        </w:tc>
      </w:tr>
    </w:tbl>
    <w:p w:rsidR="008168EC" w:rsidRPr="008168EC" w:rsidRDefault="008168EC" w:rsidP="008168EC">
      <w:pPr>
        <w:spacing w:after="0" w:line="240" w:lineRule="auto"/>
      </w:pPr>
    </w:p>
    <w:p w:rsidR="008168EC" w:rsidRPr="008168EC" w:rsidRDefault="00B60E35" w:rsidP="008168EC">
      <w:pPr>
        <w:spacing w:after="0" w:line="240" w:lineRule="auto"/>
      </w:pPr>
      <w:r>
        <w:t xml:space="preserve">The CTE Office is currently trying to build the internship program.  Some of the roadblocks we are facing are that the internship program used to be linked to </w:t>
      </w:r>
      <w:r w:rsidR="0081116B">
        <w:t xml:space="preserve">the general </w:t>
      </w:r>
      <w:r>
        <w:t>work experience</w:t>
      </w:r>
      <w:r w:rsidR="0081116B">
        <w:t xml:space="preserve"> course and because of Title V regulations is now being required to be changed to TOP Code specific work experience courses</w:t>
      </w:r>
      <w:r>
        <w:t>.  Students were previously allowed to enroll at any time during the semester as long as they could meet requirements which is no longer the case.  We also have experience lack of faculty involvement in being an assigned faculty advisor in the major career fields. We have updated marketing materials for the Internship Program and are working to get more faculty on board so we can build the program.  We will also be collaborating in regional internship partnerships</w:t>
      </w:r>
      <w:r w:rsidR="0081116B">
        <w:t xml:space="preserve"> to develop best practices for internship programs</w:t>
      </w:r>
      <w:r>
        <w:t>.  We have assigned an educational advisor to work half time advising and half time on internships.  We also now have a Job Development Specialist in the office to help with the case management process, internship placements, internship preparation and soft skill building.</w:t>
      </w:r>
    </w:p>
    <w:p w:rsidR="008168EC" w:rsidRDefault="008168EC" w:rsidP="008160EA">
      <w:pPr>
        <w:spacing w:after="0" w:line="240" w:lineRule="auto"/>
        <w:rPr>
          <w:rFonts w:cstheme="minorHAnsi"/>
          <w:b/>
        </w:rPr>
      </w:pPr>
    </w:p>
    <w:tbl>
      <w:tblPr>
        <w:tblStyle w:val="TableGrid"/>
        <w:tblW w:w="0" w:type="auto"/>
        <w:tblLook w:val="04A0" w:firstRow="1" w:lastRow="0" w:firstColumn="1" w:lastColumn="0" w:noHBand="0" w:noVBand="1"/>
      </w:tblPr>
      <w:tblGrid>
        <w:gridCol w:w="3145"/>
        <w:gridCol w:w="3060"/>
      </w:tblGrid>
      <w:tr w:rsidR="008160EA" w:rsidTr="008160EA">
        <w:tc>
          <w:tcPr>
            <w:tcW w:w="6205" w:type="dxa"/>
            <w:gridSpan w:val="2"/>
            <w:shd w:val="clear" w:color="auto" w:fill="BFBFBF" w:themeFill="background1" w:themeFillShade="BF"/>
          </w:tcPr>
          <w:p w:rsidR="008160EA" w:rsidRDefault="008160EA" w:rsidP="008160EA">
            <w:pPr>
              <w:jc w:val="center"/>
              <w:rPr>
                <w:rFonts w:cstheme="minorHAnsi"/>
                <w:b/>
              </w:rPr>
            </w:pPr>
            <w:r>
              <w:rPr>
                <w:rFonts w:cstheme="minorHAnsi"/>
                <w:b/>
              </w:rPr>
              <w:t>Articulation Agreements</w:t>
            </w:r>
          </w:p>
        </w:tc>
      </w:tr>
      <w:tr w:rsidR="008160EA" w:rsidTr="008160EA">
        <w:tc>
          <w:tcPr>
            <w:tcW w:w="3145" w:type="dxa"/>
          </w:tcPr>
          <w:p w:rsidR="008160EA" w:rsidRDefault="00CE2F2D" w:rsidP="00CE2F2D">
            <w:pPr>
              <w:jc w:val="center"/>
              <w:rPr>
                <w:rFonts w:cstheme="minorHAnsi"/>
                <w:b/>
              </w:rPr>
            </w:pPr>
            <w:r>
              <w:rPr>
                <w:rFonts w:cstheme="minorHAnsi"/>
                <w:b/>
              </w:rPr>
              <w:t>Year</w:t>
            </w:r>
          </w:p>
        </w:tc>
        <w:tc>
          <w:tcPr>
            <w:tcW w:w="3060" w:type="dxa"/>
          </w:tcPr>
          <w:p w:rsidR="008160EA" w:rsidRDefault="00CE2F2D" w:rsidP="00CE2F2D">
            <w:pPr>
              <w:jc w:val="center"/>
              <w:rPr>
                <w:rFonts w:cstheme="minorHAnsi"/>
                <w:b/>
              </w:rPr>
            </w:pPr>
            <w:r>
              <w:rPr>
                <w:rFonts w:cstheme="minorHAnsi"/>
                <w:b/>
              </w:rPr>
              <w:t># of active agreements</w:t>
            </w:r>
          </w:p>
        </w:tc>
      </w:tr>
      <w:tr w:rsidR="008160EA" w:rsidTr="008160EA">
        <w:tc>
          <w:tcPr>
            <w:tcW w:w="3145" w:type="dxa"/>
          </w:tcPr>
          <w:p w:rsidR="008160EA" w:rsidRPr="00CE2F2D" w:rsidRDefault="00CE2F2D" w:rsidP="008160EA">
            <w:pPr>
              <w:rPr>
                <w:rFonts w:cstheme="minorHAnsi"/>
              </w:rPr>
            </w:pPr>
            <w:r w:rsidRPr="00CE2F2D">
              <w:rPr>
                <w:rFonts w:cstheme="minorHAnsi"/>
              </w:rPr>
              <w:t>2016</w:t>
            </w:r>
          </w:p>
        </w:tc>
        <w:tc>
          <w:tcPr>
            <w:tcW w:w="3060" w:type="dxa"/>
          </w:tcPr>
          <w:p w:rsidR="008160EA" w:rsidRPr="00CE2F2D" w:rsidRDefault="00CE2F2D" w:rsidP="00CE2F2D">
            <w:pPr>
              <w:jc w:val="right"/>
              <w:rPr>
                <w:rFonts w:cstheme="minorHAnsi"/>
              </w:rPr>
            </w:pPr>
            <w:r w:rsidRPr="00CE2F2D">
              <w:rPr>
                <w:rFonts w:cstheme="minorHAnsi"/>
              </w:rPr>
              <w:t>100</w:t>
            </w:r>
          </w:p>
        </w:tc>
      </w:tr>
      <w:tr w:rsidR="008160EA" w:rsidTr="008160EA">
        <w:tc>
          <w:tcPr>
            <w:tcW w:w="3145" w:type="dxa"/>
          </w:tcPr>
          <w:p w:rsidR="008160EA" w:rsidRPr="00CE2F2D" w:rsidRDefault="00CE2F2D" w:rsidP="008160EA">
            <w:pPr>
              <w:rPr>
                <w:rFonts w:cstheme="minorHAnsi"/>
              </w:rPr>
            </w:pPr>
            <w:r w:rsidRPr="00CE2F2D">
              <w:rPr>
                <w:rFonts w:cstheme="minorHAnsi"/>
              </w:rPr>
              <w:t>2015</w:t>
            </w:r>
          </w:p>
        </w:tc>
        <w:tc>
          <w:tcPr>
            <w:tcW w:w="3060" w:type="dxa"/>
          </w:tcPr>
          <w:p w:rsidR="008160EA" w:rsidRPr="00CE2F2D" w:rsidRDefault="00CE2F2D" w:rsidP="00CE2F2D">
            <w:pPr>
              <w:jc w:val="right"/>
              <w:rPr>
                <w:rFonts w:cstheme="minorHAnsi"/>
              </w:rPr>
            </w:pPr>
            <w:r w:rsidRPr="00CE2F2D">
              <w:rPr>
                <w:rFonts w:cstheme="minorHAnsi"/>
              </w:rPr>
              <w:t>125</w:t>
            </w:r>
          </w:p>
        </w:tc>
      </w:tr>
      <w:tr w:rsidR="008160EA" w:rsidTr="008160EA">
        <w:tc>
          <w:tcPr>
            <w:tcW w:w="3145" w:type="dxa"/>
          </w:tcPr>
          <w:p w:rsidR="008160EA" w:rsidRPr="00CE2F2D" w:rsidRDefault="00CE2F2D" w:rsidP="001437E6">
            <w:pPr>
              <w:tabs>
                <w:tab w:val="center" w:pos="1464"/>
              </w:tabs>
              <w:rPr>
                <w:rFonts w:cstheme="minorHAnsi"/>
              </w:rPr>
            </w:pPr>
            <w:r w:rsidRPr="00CE2F2D">
              <w:rPr>
                <w:rFonts w:cstheme="minorHAnsi"/>
              </w:rPr>
              <w:t>2014</w:t>
            </w:r>
            <w:r w:rsidR="001437E6">
              <w:rPr>
                <w:rFonts w:cstheme="minorHAnsi"/>
              </w:rPr>
              <w:tab/>
            </w:r>
          </w:p>
        </w:tc>
        <w:tc>
          <w:tcPr>
            <w:tcW w:w="3060" w:type="dxa"/>
          </w:tcPr>
          <w:p w:rsidR="008160EA" w:rsidRPr="00CE2F2D" w:rsidRDefault="00CE2F2D" w:rsidP="00CE2F2D">
            <w:pPr>
              <w:jc w:val="right"/>
              <w:rPr>
                <w:rFonts w:cstheme="minorHAnsi"/>
              </w:rPr>
            </w:pPr>
            <w:r w:rsidRPr="00CE2F2D">
              <w:rPr>
                <w:rFonts w:cstheme="minorHAnsi"/>
              </w:rPr>
              <w:t>143</w:t>
            </w:r>
          </w:p>
        </w:tc>
      </w:tr>
    </w:tbl>
    <w:p w:rsidR="008160EA" w:rsidRDefault="008160EA" w:rsidP="008160EA">
      <w:pPr>
        <w:spacing w:after="0" w:line="240" w:lineRule="auto"/>
        <w:rPr>
          <w:rFonts w:cstheme="minorHAnsi"/>
          <w:b/>
        </w:rPr>
      </w:pPr>
    </w:p>
    <w:p w:rsidR="00CE2F2D" w:rsidRPr="00CE2F2D" w:rsidRDefault="00CE2F2D" w:rsidP="008160EA">
      <w:pPr>
        <w:spacing w:after="0" w:line="240" w:lineRule="auto"/>
        <w:rPr>
          <w:rFonts w:cstheme="minorHAnsi"/>
        </w:rPr>
      </w:pPr>
      <w:r>
        <w:rPr>
          <w:rFonts w:cstheme="minorHAnsi"/>
        </w:rPr>
        <w:t xml:space="preserve">The CTE Office currently has 100 active articulation agreements with various high schools in Kern County.  You will notice a drop over the past two years in the number of agreements.  The drop was a result of psychology and Spanish being removed from the approved articulation courses.  We also had a few courses that were not approved in the last academic year as well as some high schools that have not updated curriculum to keep the agreements current.  </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1437E6" w:rsidRDefault="001437E6" w:rsidP="001437E6">
      <w:pPr>
        <w:pStyle w:val="ListParagraph"/>
        <w:numPr>
          <w:ilvl w:val="0"/>
          <w:numId w:val="28"/>
        </w:numPr>
        <w:spacing w:after="0" w:line="240" w:lineRule="auto"/>
        <w:rPr>
          <w:rFonts w:cstheme="minorHAnsi"/>
        </w:rPr>
      </w:pPr>
      <w:r>
        <w:rPr>
          <w:rFonts w:cstheme="minorHAnsi"/>
        </w:rPr>
        <w:lastRenderedPageBreak/>
        <w:t xml:space="preserve">Career and Technical Education is requesting that two advisor positions be generally funded.  According to Perkins IV regulations, after three years of funding a position it is considered supplanting.  We have been out of compliance in this area for some time now.  We need an additional funding source for two educational advisors.  </w:t>
      </w:r>
    </w:p>
    <w:p w:rsidR="001437E6" w:rsidRPr="001437E6" w:rsidRDefault="001437E6" w:rsidP="001437E6">
      <w:pPr>
        <w:pStyle w:val="ListParagraph"/>
        <w:numPr>
          <w:ilvl w:val="0"/>
          <w:numId w:val="28"/>
        </w:numPr>
        <w:spacing w:after="0" w:line="240" w:lineRule="auto"/>
        <w:rPr>
          <w:rFonts w:cstheme="minorHAnsi"/>
        </w:rPr>
      </w:pPr>
      <w:r>
        <w:rPr>
          <w:rFonts w:cstheme="minorHAnsi"/>
        </w:rPr>
        <w:t>With the Strong Workforce funding coming from the State Chancellors office, there is a great need to hire an additional advisor to make sure we are incorporating the Strong Work Force twenty five recommendations.  If the two advisor positions are funded generally we can hire an additional advisor.</w:t>
      </w:r>
      <w:bookmarkStart w:id="8" w:name="_GoBack"/>
      <w:bookmarkEnd w:id="8"/>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150256"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p>
    <w:p w:rsidR="006340FF" w:rsidRPr="0063650E" w:rsidRDefault="00150256" w:rsidP="00150256">
      <w:pPr>
        <w:pStyle w:val="ListParagraph"/>
        <w:numPr>
          <w:ilvl w:val="0"/>
          <w:numId w:val="26"/>
        </w:numPr>
        <w:spacing w:after="0" w:line="240" w:lineRule="auto"/>
        <w:rPr>
          <w:rFonts w:cstheme="minorHAnsi"/>
        </w:rPr>
      </w:pPr>
      <w:r>
        <w:rPr>
          <w:rFonts w:cstheme="minorHAnsi"/>
        </w:rPr>
        <w:t>Construction in the FACE 16 CTE Office last academic year provided extra office space so that a Job Development Specialist could move into the office.  By having the JDS in the CTE Office, students are able to take care of all services in one office and do not have to visit multiple offices on campus.</w:t>
      </w:r>
    </w:p>
    <w:p w:rsidR="00150256"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p>
    <w:p w:rsidR="00BD4AB8" w:rsidRDefault="00150256" w:rsidP="00150256">
      <w:pPr>
        <w:pStyle w:val="ListParagraph"/>
        <w:numPr>
          <w:ilvl w:val="0"/>
          <w:numId w:val="25"/>
        </w:numPr>
        <w:spacing w:after="0" w:line="240" w:lineRule="auto"/>
        <w:rPr>
          <w:rFonts w:cstheme="minorHAnsi"/>
        </w:rPr>
      </w:pPr>
      <w:r>
        <w:rPr>
          <w:rFonts w:cstheme="minorHAnsi"/>
        </w:rPr>
        <w:t>The facilities request for new carpet will provide a safer environment for students.</w:t>
      </w:r>
    </w:p>
    <w:p w:rsidR="00150256" w:rsidRPr="0063650E" w:rsidRDefault="00150256" w:rsidP="00150256">
      <w:pPr>
        <w:pStyle w:val="ListParagraph"/>
        <w:numPr>
          <w:ilvl w:val="0"/>
          <w:numId w:val="25"/>
        </w:numPr>
        <w:spacing w:after="0" w:line="240" w:lineRule="auto"/>
        <w:rPr>
          <w:rFonts w:cstheme="minorHAnsi"/>
        </w:rPr>
      </w:pPr>
      <w:r>
        <w:rPr>
          <w:rFonts w:cstheme="minorHAnsi"/>
        </w:rPr>
        <w:t>Faculties request for new paint and ceiling tile replacement will improve the aesthetics in the CTE Office providing a more pleasant environment for the hundreds of students who visit out office weekly.</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150256">
        <w:t xml:space="preserve"> Does not apply</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150256">
        <w:t xml:space="preserve"> Does not apply</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DE70A4" w:rsidRPr="00DE70A4" w:rsidRDefault="00DE70A4" w:rsidP="00DE70A4">
      <w:pPr>
        <w:pStyle w:val="ListParagraph"/>
        <w:numPr>
          <w:ilvl w:val="0"/>
          <w:numId w:val="27"/>
        </w:numPr>
        <w:spacing w:after="0" w:line="240" w:lineRule="auto"/>
        <w:rPr>
          <w:rFonts w:cstheme="minorHAnsi"/>
        </w:rPr>
      </w:pPr>
      <w:r>
        <w:t xml:space="preserve">Funding source for CTE staff must be evaluated, currently being funded from GUOO1, which according to VTEA rules may be ineligible to continue.  Positions have been funding longer than the three year federal </w:t>
      </w:r>
      <w:r w:rsidR="006634C0">
        <w:t>guidelines</w:t>
      </w:r>
      <w:r>
        <w:t xml:space="preserve">, so we are out of compliance on the Perkins IV </w:t>
      </w:r>
      <w:r w:rsidR="006634C0">
        <w:t>funding</w:t>
      </w:r>
      <w:r>
        <w:t xml:space="preserve">. </w:t>
      </w:r>
    </w:p>
    <w:p w:rsidR="006634C0" w:rsidRPr="006634C0" w:rsidRDefault="00DE70A4" w:rsidP="00DE70A4">
      <w:pPr>
        <w:pStyle w:val="ListParagraph"/>
        <w:numPr>
          <w:ilvl w:val="0"/>
          <w:numId w:val="27"/>
        </w:numPr>
        <w:spacing w:after="0" w:line="240" w:lineRule="auto"/>
        <w:rPr>
          <w:rFonts w:cstheme="minorHAnsi"/>
        </w:rPr>
      </w:pPr>
      <w:r>
        <w:t>Asking for 1 additional CTE Adviso</w:t>
      </w:r>
      <w:r w:rsidR="006634C0">
        <w:t xml:space="preserve">rs funding source could be Perkins IV if the other two advisors are moved to general funding.  The </w:t>
      </w:r>
      <w:r>
        <w:t xml:space="preserve">total cost of </w:t>
      </w:r>
      <w:r w:rsidR="006634C0">
        <w:t>hiring an additional advisor is $84,166.97</w:t>
      </w:r>
      <w:r>
        <w:t xml:space="preserve"> provided that VTEA doe</w:t>
      </w:r>
      <w:r w:rsidR="006634C0">
        <w:t xml:space="preserve">s not continue to fund existing two </w:t>
      </w:r>
      <w:r>
        <w:t xml:space="preserve">Ed Advisors. Could consider SSPS or Equity Funding. </w:t>
      </w:r>
    </w:p>
    <w:p w:rsidR="00DE70A4" w:rsidRPr="00DE70A4" w:rsidRDefault="00DE70A4" w:rsidP="00DE70A4">
      <w:pPr>
        <w:pStyle w:val="ListParagraph"/>
        <w:numPr>
          <w:ilvl w:val="0"/>
          <w:numId w:val="27"/>
        </w:numPr>
        <w:spacing w:after="0" w:line="240" w:lineRule="auto"/>
        <w:rPr>
          <w:rFonts w:cstheme="minorHAnsi"/>
        </w:rPr>
      </w:pPr>
      <w:r>
        <w:t>If VTEA cannot support existing Ed Advisors must institutionalize funding source at cost of $250,000.</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670745" w:rsidRDefault="00DE70A4" w:rsidP="00E04250">
      <w:pPr>
        <w:spacing w:after="0" w:line="240" w:lineRule="auto"/>
        <w:rPr>
          <w:sz w:val="20"/>
          <w:szCs w:val="20"/>
        </w:rPr>
      </w:pPr>
      <w:r>
        <w:t>The CTE Department is an integral part of the College campus, however it appears that it has been working in a silo away from other College initiatives (SSPS, Equity and Dual Enrollment). There is a need to improve the relationship with the Counseling department so that the CTE Advisors can effectively provide services as well as increase student success with the implementation of Case Management for CTE students as well as increase relationships with employers to provide internships and employment opportunities (this is a need to increase the collaboration with Job Placement).</w:t>
      </w:r>
      <w:r w:rsidR="006634C0">
        <w:t xml:space="preserve">  The Strong Work Force Task Force recommendations and WIOA Guidelines will be the guiding principles we follow in the next few years to come.  Completion and employment will be our major focus as we build our </w:t>
      </w:r>
      <w:r w:rsidR="009D4523">
        <w:t>Job Development Specialist positions and begin to grow BC’s Job Placement.</w:t>
      </w: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A7" w:rsidRDefault="00E455A7">
      <w:pPr>
        <w:spacing w:after="0" w:line="240" w:lineRule="auto"/>
      </w:pPr>
      <w:r>
        <w:separator/>
      </w:r>
    </w:p>
  </w:endnote>
  <w:endnote w:type="continuationSeparator" w:id="0">
    <w:p w:rsidR="00E455A7" w:rsidRDefault="00E4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A4" w:rsidRPr="00C73841" w:rsidRDefault="00DE70A4">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1437E6" w:rsidRPr="001437E6">
      <w:rPr>
        <w:rFonts w:asciiTheme="minorHAnsi" w:eastAsiaTheme="majorEastAsia" w:hAnsiTheme="minorHAnsi" w:cstheme="minorHAnsi"/>
        <w:noProof/>
        <w:sz w:val="18"/>
        <w:szCs w:val="18"/>
      </w:rPr>
      <w:t>9</w:t>
    </w:r>
    <w:r w:rsidRPr="00C73841">
      <w:rPr>
        <w:rFonts w:asciiTheme="minorHAnsi" w:eastAsiaTheme="majorEastAsia" w:hAnsiTheme="minorHAnsi" w:cstheme="minorHAnsi"/>
        <w:noProof/>
        <w:sz w:val="18"/>
        <w:szCs w:val="18"/>
      </w:rPr>
      <w:fldChar w:fldCharType="end"/>
    </w:r>
  </w:p>
  <w:p w:rsidR="00DE70A4" w:rsidRDefault="00DE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A7" w:rsidRDefault="00E455A7">
      <w:pPr>
        <w:spacing w:after="0" w:line="240" w:lineRule="auto"/>
      </w:pPr>
      <w:r>
        <w:separator/>
      </w:r>
    </w:p>
  </w:footnote>
  <w:footnote w:type="continuationSeparator" w:id="0">
    <w:p w:rsidR="00E455A7" w:rsidRDefault="00E45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D9D731E"/>
    <w:multiLevelType w:val="hybridMultilevel"/>
    <w:tmpl w:val="180C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36445"/>
    <w:multiLevelType w:val="hybridMultilevel"/>
    <w:tmpl w:val="09880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683A62"/>
    <w:multiLevelType w:val="hybridMultilevel"/>
    <w:tmpl w:val="0254B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201D34"/>
    <w:multiLevelType w:val="hybridMultilevel"/>
    <w:tmpl w:val="EF982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D764A"/>
    <w:multiLevelType w:val="hybridMultilevel"/>
    <w:tmpl w:val="9CEA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82199"/>
    <w:multiLevelType w:val="hybridMultilevel"/>
    <w:tmpl w:val="506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7"/>
  </w:num>
  <w:num w:numId="5">
    <w:abstractNumId w:val="5"/>
  </w:num>
  <w:num w:numId="6">
    <w:abstractNumId w:val="21"/>
  </w:num>
  <w:num w:numId="7">
    <w:abstractNumId w:val="12"/>
  </w:num>
  <w:num w:numId="8">
    <w:abstractNumId w:val="15"/>
  </w:num>
  <w:num w:numId="9">
    <w:abstractNumId w:val="22"/>
  </w:num>
  <w:num w:numId="10">
    <w:abstractNumId w:val="14"/>
  </w:num>
  <w:num w:numId="11">
    <w:abstractNumId w:val="6"/>
  </w:num>
  <w:num w:numId="12">
    <w:abstractNumId w:val="24"/>
  </w:num>
  <w:num w:numId="13">
    <w:abstractNumId w:val="23"/>
  </w:num>
  <w:num w:numId="14">
    <w:abstractNumId w:val="0"/>
  </w:num>
  <w:num w:numId="15">
    <w:abstractNumId w:val="3"/>
  </w:num>
  <w:num w:numId="16">
    <w:abstractNumId w:val="13"/>
  </w:num>
  <w:num w:numId="17">
    <w:abstractNumId w:val="11"/>
  </w:num>
  <w:num w:numId="18">
    <w:abstractNumId w:val="4"/>
  </w:num>
  <w:num w:numId="19">
    <w:abstractNumId w:val="26"/>
  </w:num>
  <w:num w:numId="20">
    <w:abstractNumId w:val="19"/>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num>
  <w:num w:numId="25">
    <w:abstractNumId w:val="17"/>
  </w:num>
  <w:num w:numId="26">
    <w:abstractNumId w:val="7"/>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A550F"/>
    <w:rsid w:val="000C08F3"/>
    <w:rsid w:val="000C57A1"/>
    <w:rsid w:val="000F15E7"/>
    <w:rsid w:val="000F3AA2"/>
    <w:rsid w:val="00102476"/>
    <w:rsid w:val="00113E76"/>
    <w:rsid w:val="001333AD"/>
    <w:rsid w:val="00134454"/>
    <w:rsid w:val="00140125"/>
    <w:rsid w:val="001437E6"/>
    <w:rsid w:val="00150256"/>
    <w:rsid w:val="00160600"/>
    <w:rsid w:val="0019517F"/>
    <w:rsid w:val="001A2763"/>
    <w:rsid w:val="001B247D"/>
    <w:rsid w:val="001B2EC8"/>
    <w:rsid w:val="00233679"/>
    <w:rsid w:val="00242DCD"/>
    <w:rsid w:val="00273F7C"/>
    <w:rsid w:val="002D7005"/>
    <w:rsid w:val="002F19BE"/>
    <w:rsid w:val="002F7CF6"/>
    <w:rsid w:val="00335AF8"/>
    <w:rsid w:val="00396AF3"/>
    <w:rsid w:val="003C2EB3"/>
    <w:rsid w:val="003D27D1"/>
    <w:rsid w:val="003E6D1F"/>
    <w:rsid w:val="003F4378"/>
    <w:rsid w:val="004055E2"/>
    <w:rsid w:val="004067D0"/>
    <w:rsid w:val="004145C8"/>
    <w:rsid w:val="0041608C"/>
    <w:rsid w:val="00426EA2"/>
    <w:rsid w:val="00494FE6"/>
    <w:rsid w:val="004A6B61"/>
    <w:rsid w:val="004B4929"/>
    <w:rsid w:val="004D7FFA"/>
    <w:rsid w:val="004E7D0F"/>
    <w:rsid w:val="00507C0C"/>
    <w:rsid w:val="005209BA"/>
    <w:rsid w:val="00520C6E"/>
    <w:rsid w:val="00527E21"/>
    <w:rsid w:val="005620FD"/>
    <w:rsid w:val="00572188"/>
    <w:rsid w:val="005744EB"/>
    <w:rsid w:val="0059381F"/>
    <w:rsid w:val="005A7513"/>
    <w:rsid w:val="005B1ECE"/>
    <w:rsid w:val="005B457C"/>
    <w:rsid w:val="005D0C4A"/>
    <w:rsid w:val="005E583A"/>
    <w:rsid w:val="005F4080"/>
    <w:rsid w:val="0060746E"/>
    <w:rsid w:val="00612743"/>
    <w:rsid w:val="006340FF"/>
    <w:rsid w:val="0063650E"/>
    <w:rsid w:val="00651A40"/>
    <w:rsid w:val="006634C0"/>
    <w:rsid w:val="00670745"/>
    <w:rsid w:val="006A01EA"/>
    <w:rsid w:val="006A7208"/>
    <w:rsid w:val="006A796C"/>
    <w:rsid w:val="006C6CA7"/>
    <w:rsid w:val="0070514C"/>
    <w:rsid w:val="00716A94"/>
    <w:rsid w:val="00753139"/>
    <w:rsid w:val="0075578D"/>
    <w:rsid w:val="00755934"/>
    <w:rsid w:val="007571B5"/>
    <w:rsid w:val="007A3CDB"/>
    <w:rsid w:val="007D3288"/>
    <w:rsid w:val="0081116B"/>
    <w:rsid w:val="008160EA"/>
    <w:rsid w:val="008168EC"/>
    <w:rsid w:val="00827600"/>
    <w:rsid w:val="00863C43"/>
    <w:rsid w:val="0087586F"/>
    <w:rsid w:val="008B60D9"/>
    <w:rsid w:val="00961586"/>
    <w:rsid w:val="00962CCD"/>
    <w:rsid w:val="00966171"/>
    <w:rsid w:val="00996020"/>
    <w:rsid w:val="009A47DB"/>
    <w:rsid w:val="009D4523"/>
    <w:rsid w:val="009D6D50"/>
    <w:rsid w:val="00A07CDD"/>
    <w:rsid w:val="00A6058F"/>
    <w:rsid w:val="00A70D85"/>
    <w:rsid w:val="00A75471"/>
    <w:rsid w:val="00AA3635"/>
    <w:rsid w:val="00AE05CC"/>
    <w:rsid w:val="00AE06EB"/>
    <w:rsid w:val="00B2405F"/>
    <w:rsid w:val="00B4368E"/>
    <w:rsid w:val="00B574C3"/>
    <w:rsid w:val="00B60E35"/>
    <w:rsid w:val="00B7484A"/>
    <w:rsid w:val="00B85C90"/>
    <w:rsid w:val="00B93A68"/>
    <w:rsid w:val="00B949F8"/>
    <w:rsid w:val="00BB3589"/>
    <w:rsid w:val="00BD25F6"/>
    <w:rsid w:val="00BD4AB8"/>
    <w:rsid w:val="00BE3F1A"/>
    <w:rsid w:val="00BF0F11"/>
    <w:rsid w:val="00C3716D"/>
    <w:rsid w:val="00C517FF"/>
    <w:rsid w:val="00C9179D"/>
    <w:rsid w:val="00C952BB"/>
    <w:rsid w:val="00CA5D66"/>
    <w:rsid w:val="00CC18D8"/>
    <w:rsid w:val="00CC5658"/>
    <w:rsid w:val="00CD0C36"/>
    <w:rsid w:val="00CE2F2D"/>
    <w:rsid w:val="00CF3D41"/>
    <w:rsid w:val="00CF5417"/>
    <w:rsid w:val="00D062FE"/>
    <w:rsid w:val="00D2239A"/>
    <w:rsid w:val="00D6371B"/>
    <w:rsid w:val="00D90959"/>
    <w:rsid w:val="00DA0A51"/>
    <w:rsid w:val="00DA1872"/>
    <w:rsid w:val="00DB008B"/>
    <w:rsid w:val="00DE70A4"/>
    <w:rsid w:val="00E04250"/>
    <w:rsid w:val="00E07F02"/>
    <w:rsid w:val="00E10A90"/>
    <w:rsid w:val="00E3454F"/>
    <w:rsid w:val="00E455A7"/>
    <w:rsid w:val="00E73837"/>
    <w:rsid w:val="00E77899"/>
    <w:rsid w:val="00E92060"/>
    <w:rsid w:val="00E96079"/>
    <w:rsid w:val="00EC1457"/>
    <w:rsid w:val="00F42E95"/>
    <w:rsid w:val="00F66406"/>
    <w:rsid w:val="00F761F9"/>
    <w:rsid w:val="00F81675"/>
    <w:rsid w:val="00F86C2A"/>
    <w:rsid w:val="00FA5847"/>
    <w:rsid w:val="00FC7EC3"/>
    <w:rsid w:val="00FD03FF"/>
    <w:rsid w:val="00FD0A12"/>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A050A-7CDC-4D41-AE7F-C4EAF3B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3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41223">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197544320">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A135BFC4-896F-4BAC-8E86-EAEEE1672646}"/>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BC2C6-4806-4454-BD6A-0EBE854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14479</TotalTime>
  <Pages>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Rozanne Hernandez</cp:lastModifiedBy>
  <cp:revision>13</cp:revision>
  <cp:lastPrinted>2014-05-01T20:00:00Z</cp:lastPrinted>
  <dcterms:created xsi:type="dcterms:W3CDTF">2016-08-17T15:00:00Z</dcterms:created>
  <dcterms:modified xsi:type="dcterms:W3CDTF">2016-09-26T14:44:00Z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