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E52C8B">
        <w:t>Criminal Justice</w:t>
      </w:r>
      <w:bookmarkStart w:id="0" w:name="_GoBack"/>
      <w:bookmarkEnd w:id="0"/>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454508">
        <w:rPr>
          <w:rFonts w:cstheme="minorHAnsi"/>
        </w:rPr>
        <w:fldChar w:fldCharType="begin">
          <w:ffData>
            <w:name w:val="Check8"/>
            <w:enabled/>
            <w:calcOnExit w:val="0"/>
            <w:checkBox>
              <w:sizeAuto/>
              <w:default w:val="1"/>
            </w:checkBox>
          </w:ffData>
        </w:fldChar>
      </w:r>
      <w:bookmarkStart w:id="1" w:name="Check8"/>
      <w:r w:rsidR="00454508">
        <w:rPr>
          <w:rFonts w:cstheme="minorHAnsi"/>
        </w:rPr>
        <w:instrText xml:space="preserve"> FORMCHECKBOX </w:instrText>
      </w:r>
      <w:r w:rsidR="00E52C8B">
        <w:rPr>
          <w:rFonts w:cstheme="minorHAnsi"/>
        </w:rPr>
      </w:r>
      <w:r w:rsidR="00E52C8B">
        <w:rPr>
          <w:rFonts w:cstheme="minorHAnsi"/>
        </w:rPr>
        <w:fldChar w:fldCharType="separate"/>
      </w:r>
      <w:r w:rsidR="00454508">
        <w:rPr>
          <w:rFonts w:cstheme="minorHAnsi"/>
        </w:rPr>
        <w:fldChar w:fldCharType="end"/>
      </w:r>
      <w:bookmarkEnd w:id="1"/>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2" w:name="Check9"/>
      <w:r w:rsidRPr="00E04250">
        <w:rPr>
          <w:rFonts w:cstheme="minorHAnsi"/>
        </w:rPr>
        <w:instrText xml:space="preserve"> FORMCHECKBOX </w:instrText>
      </w:r>
      <w:r w:rsidR="00E52C8B">
        <w:rPr>
          <w:rFonts w:cstheme="minorHAnsi"/>
        </w:rPr>
      </w:r>
      <w:r w:rsidR="00E52C8B">
        <w:rPr>
          <w:rFonts w:cstheme="minorHAnsi"/>
        </w:rPr>
        <w:fldChar w:fldCharType="separate"/>
      </w:r>
      <w:r w:rsidR="00966171" w:rsidRPr="00E04250">
        <w:rPr>
          <w:rFonts w:cstheme="minorHAnsi"/>
        </w:rPr>
        <w:fldChar w:fldCharType="end"/>
      </w:r>
      <w:bookmarkEnd w:id="2"/>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E52C8B">
        <w:rPr>
          <w:rFonts w:cstheme="minorHAnsi"/>
        </w:rPr>
      </w:r>
      <w:r w:rsidR="00E52C8B">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r w:rsidR="00454508">
        <w:t>The Criminal Justice Program provides a diverse student population with the academic skills they will need to succeed in the job market, and the critical thinking needed for both career and academic success</w:t>
      </w:r>
    </w:p>
    <w:p w:rsidR="005620FD" w:rsidRPr="00E04250" w:rsidRDefault="005620FD" w:rsidP="00E04250">
      <w:pPr>
        <w:spacing w:after="0" w:line="240" w:lineRule="auto"/>
      </w:pPr>
    </w:p>
    <w:p w:rsidR="00454508" w:rsidRDefault="006A796C" w:rsidP="00454508">
      <w:pPr>
        <w:spacing w:after="0" w:line="240" w:lineRule="auto"/>
      </w:pPr>
      <w:r w:rsidRPr="00E04250">
        <w:t>Program Mission Statement:</w:t>
      </w:r>
      <w:r w:rsidR="00454508">
        <w:t xml:space="preserve"> The Criminal Justice Program guides and prepares students for careers in law enforcement, courts, and state and local corrections.</w:t>
      </w:r>
    </w:p>
    <w:p w:rsidR="00454508" w:rsidRDefault="00454508" w:rsidP="00454508">
      <w:pPr>
        <w:spacing w:after="0" w:line="240" w:lineRule="auto"/>
      </w:pP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454508">
              <w:rPr>
                <w:rFonts w:eastAsiaTheme="minorHAnsi"/>
                <w:color w:val="000000"/>
                <w:sz w:val="24"/>
                <w:szCs w:val="24"/>
              </w:rPr>
              <w:t xml:space="preserve"> Revise AD-T transfer degree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454508"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3" w:name="Check1"/>
            <w:r>
              <w:rPr>
                <w:sz w:val="20"/>
                <w:szCs w:val="20"/>
              </w:rPr>
              <w:instrText xml:space="preserve"> FORMCHECKBOX </w:instrText>
            </w:r>
            <w:r w:rsidR="00E52C8B">
              <w:rPr>
                <w:sz w:val="20"/>
                <w:szCs w:val="20"/>
              </w:rPr>
            </w:r>
            <w:r w:rsidR="00E52C8B">
              <w:rPr>
                <w:sz w:val="20"/>
                <w:szCs w:val="20"/>
              </w:rPr>
              <w:fldChar w:fldCharType="separate"/>
            </w:r>
            <w:r>
              <w:rPr>
                <w:sz w:val="20"/>
                <w:szCs w:val="20"/>
              </w:rPr>
              <w:fldChar w:fldCharType="end"/>
            </w:r>
            <w:bookmarkEnd w:id="3"/>
            <w:r w:rsidR="0060746E" w:rsidRPr="00E04250">
              <w:rPr>
                <w:sz w:val="20"/>
                <w:szCs w:val="20"/>
              </w:rPr>
              <w:t xml:space="preserve"> 1: Student Learning                             </w:t>
            </w:r>
          </w:p>
          <w:p w:rsidR="0060746E" w:rsidRPr="00E04250" w:rsidRDefault="00454508"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4" w:name="Check2"/>
            <w:r>
              <w:rPr>
                <w:sz w:val="20"/>
                <w:szCs w:val="20"/>
              </w:rPr>
              <w:instrText xml:space="preserve"> FORMCHECKBOX </w:instrText>
            </w:r>
            <w:r w:rsidR="00E52C8B">
              <w:rPr>
                <w:sz w:val="20"/>
                <w:szCs w:val="20"/>
              </w:rPr>
            </w:r>
            <w:r w:rsidR="00E52C8B">
              <w:rPr>
                <w:sz w:val="20"/>
                <w:szCs w:val="20"/>
              </w:rPr>
              <w:fldChar w:fldCharType="separate"/>
            </w:r>
            <w:r>
              <w:rPr>
                <w:sz w:val="20"/>
                <w:szCs w:val="20"/>
              </w:rPr>
              <w:fldChar w:fldCharType="end"/>
            </w:r>
            <w:bookmarkEnd w:id="4"/>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52C8B">
              <w:rPr>
                <w:sz w:val="20"/>
                <w:szCs w:val="20"/>
              </w:rPr>
            </w:r>
            <w:r w:rsidR="00E52C8B">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52C8B">
              <w:rPr>
                <w:sz w:val="20"/>
                <w:szCs w:val="20"/>
              </w:rPr>
            </w:r>
            <w:r w:rsidR="00E52C8B">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52C8B">
              <w:rPr>
                <w:sz w:val="20"/>
                <w:szCs w:val="20"/>
              </w:rPr>
            </w:r>
            <w:r w:rsidR="00E52C8B">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52C8B">
              <w:rPr>
                <w:sz w:val="20"/>
                <w:szCs w:val="20"/>
              </w:rPr>
            </w:r>
            <w:r w:rsidR="00E52C8B">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52C8B">
              <w:rPr>
                <w:sz w:val="20"/>
                <w:szCs w:val="20"/>
              </w:rPr>
            </w:r>
            <w:r w:rsidR="00E52C8B">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454508" w:rsidP="00454508">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5" w:name="Check7"/>
            <w:r>
              <w:rPr>
                <w:b/>
                <w:sz w:val="20"/>
                <w:szCs w:val="20"/>
                <w:u w:val="single"/>
              </w:rPr>
              <w:instrText xml:space="preserve"> FORMCHECKBOX </w:instrText>
            </w:r>
            <w:r w:rsidR="00E52C8B">
              <w:rPr>
                <w:b/>
                <w:sz w:val="20"/>
                <w:szCs w:val="20"/>
                <w:u w:val="single"/>
              </w:rPr>
            </w:r>
            <w:r w:rsidR="00E52C8B">
              <w:rPr>
                <w:b/>
                <w:sz w:val="20"/>
                <w:szCs w:val="20"/>
                <w:u w:val="single"/>
              </w:rPr>
              <w:fldChar w:fldCharType="separate"/>
            </w:r>
            <w:r>
              <w:rPr>
                <w:b/>
                <w:sz w:val="20"/>
                <w:szCs w:val="20"/>
                <w:u w:val="single"/>
              </w:rPr>
              <w:fldChar w:fldCharType="end"/>
            </w:r>
            <w:bookmarkEnd w:id="5"/>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w:t>
            </w:r>
            <w:r>
              <w:rPr>
                <w:sz w:val="20"/>
                <w:szCs w:val="20"/>
                <w:u w:val="single"/>
              </w:rPr>
              <w:t>9/1/2016</w:t>
            </w:r>
            <w:r w:rsidR="0060746E" w:rsidRPr="00E04250">
              <w:rPr>
                <w:sz w:val="20"/>
                <w:szCs w:val="20"/>
              </w:rPr>
              <w:t>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454508" w:rsidP="00E04250">
            <w:pPr>
              <w:spacing w:after="0" w:line="240" w:lineRule="auto"/>
              <w:rPr>
                <w:rFonts w:eastAsiaTheme="minorHAnsi"/>
                <w:color w:val="000000"/>
                <w:sz w:val="24"/>
                <w:szCs w:val="24"/>
              </w:rPr>
            </w:pPr>
            <w:r>
              <w:rPr>
                <w:rFonts w:eastAsiaTheme="minorHAnsi"/>
                <w:color w:val="000000"/>
                <w:sz w:val="24"/>
                <w:szCs w:val="24"/>
              </w:rPr>
              <w:t>Process begun Fall 2016.</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454508">
              <w:rPr>
                <w:rFonts w:eastAsiaTheme="minorHAnsi"/>
                <w:color w:val="000000"/>
                <w:sz w:val="24"/>
                <w:szCs w:val="24"/>
              </w:rPr>
              <w:t>Increase number of sections and adjunct pool</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454508"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52C8B">
              <w:rPr>
                <w:sz w:val="20"/>
                <w:szCs w:val="20"/>
              </w:rPr>
            </w:r>
            <w:r w:rsidR="00E52C8B">
              <w:rPr>
                <w:sz w:val="20"/>
                <w:szCs w:val="20"/>
              </w:rPr>
              <w:fldChar w:fldCharType="separate"/>
            </w:r>
            <w:r>
              <w:rPr>
                <w:sz w:val="20"/>
                <w:szCs w:val="20"/>
              </w:rPr>
              <w:fldChar w:fldCharType="end"/>
            </w:r>
            <w:r w:rsidR="006A796C" w:rsidRPr="00E04250">
              <w:rPr>
                <w:sz w:val="20"/>
                <w:szCs w:val="20"/>
              </w:rPr>
              <w:t xml:space="preserve"> 1: Student Learning                             </w:t>
            </w:r>
          </w:p>
          <w:p w:rsidR="006A796C" w:rsidRPr="00E04250" w:rsidRDefault="00454508"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52C8B">
              <w:rPr>
                <w:sz w:val="20"/>
                <w:szCs w:val="20"/>
              </w:rPr>
            </w:r>
            <w:r w:rsidR="00E52C8B">
              <w:rPr>
                <w:sz w:val="20"/>
                <w:szCs w:val="20"/>
              </w:rPr>
              <w:fldChar w:fldCharType="separate"/>
            </w:r>
            <w:r>
              <w:rPr>
                <w:sz w:val="20"/>
                <w:szCs w:val="20"/>
              </w:rPr>
              <w:fldChar w:fldCharType="end"/>
            </w:r>
            <w:r w:rsidR="006A796C"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52C8B">
              <w:rPr>
                <w:sz w:val="20"/>
                <w:szCs w:val="20"/>
              </w:rPr>
            </w:r>
            <w:r w:rsidR="00E52C8B">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52C8B">
              <w:rPr>
                <w:sz w:val="20"/>
                <w:szCs w:val="20"/>
              </w:rPr>
            </w:r>
            <w:r w:rsidR="00E52C8B">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52C8B">
              <w:rPr>
                <w:sz w:val="20"/>
                <w:szCs w:val="20"/>
              </w:rPr>
            </w:r>
            <w:r w:rsidR="00E52C8B">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52C8B">
              <w:rPr>
                <w:sz w:val="20"/>
                <w:szCs w:val="20"/>
              </w:rPr>
            </w:r>
            <w:r w:rsidR="00E52C8B">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52C8B">
              <w:rPr>
                <w:sz w:val="20"/>
                <w:szCs w:val="20"/>
              </w:rPr>
            </w:r>
            <w:r w:rsidR="00E52C8B">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454508" w:rsidP="00E0425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E52C8B">
              <w:rPr>
                <w:b/>
                <w:sz w:val="20"/>
                <w:szCs w:val="20"/>
                <w:u w:val="single"/>
              </w:rPr>
            </w:r>
            <w:r w:rsidR="00E52C8B">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454508" w:rsidP="00E04250">
            <w:pPr>
              <w:spacing w:after="0" w:line="240" w:lineRule="auto"/>
              <w:rPr>
                <w:rFonts w:eastAsiaTheme="minorHAnsi"/>
                <w:color w:val="000000"/>
                <w:sz w:val="24"/>
                <w:szCs w:val="24"/>
              </w:rPr>
            </w:pPr>
            <w:r>
              <w:rPr>
                <w:rFonts w:eastAsiaTheme="minorHAnsi"/>
                <w:color w:val="000000"/>
                <w:sz w:val="24"/>
                <w:szCs w:val="24"/>
              </w:rPr>
              <w:t>Two new adjuncts added for Fall 2016.</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454508" w:rsidRDefault="00454508" w:rsidP="00E04250">
            <w:r>
              <w:t>Create a Criminal Justice student internship program.</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454508"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52C8B">
              <w:rPr>
                <w:sz w:val="20"/>
                <w:szCs w:val="20"/>
              </w:rPr>
            </w:r>
            <w:r w:rsidR="00E52C8B">
              <w:rPr>
                <w:sz w:val="20"/>
                <w:szCs w:val="20"/>
              </w:rPr>
              <w:fldChar w:fldCharType="separate"/>
            </w:r>
            <w:r>
              <w:rPr>
                <w:sz w:val="20"/>
                <w:szCs w:val="20"/>
              </w:rPr>
              <w:fldChar w:fldCharType="end"/>
            </w:r>
            <w:r w:rsidR="0059381F" w:rsidRPr="00E04250">
              <w:rPr>
                <w:sz w:val="20"/>
                <w:szCs w:val="20"/>
              </w:rPr>
              <w:t xml:space="preserve"> 1: Student Learning                            </w:t>
            </w:r>
          </w:p>
          <w:p w:rsidR="0059381F" w:rsidRPr="00E04250" w:rsidRDefault="00454508"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52C8B">
              <w:rPr>
                <w:sz w:val="20"/>
                <w:szCs w:val="20"/>
              </w:rPr>
            </w:r>
            <w:r w:rsidR="00E52C8B">
              <w:rPr>
                <w:sz w:val="20"/>
                <w:szCs w:val="20"/>
              </w:rPr>
              <w:fldChar w:fldCharType="separate"/>
            </w:r>
            <w:r>
              <w:rPr>
                <w:sz w:val="20"/>
                <w:szCs w:val="20"/>
              </w:rPr>
              <w:fldChar w:fldCharType="end"/>
            </w:r>
            <w:r w:rsidR="0059381F"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52C8B">
              <w:rPr>
                <w:sz w:val="20"/>
                <w:szCs w:val="20"/>
              </w:rPr>
            </w:r>
            <w:r w:rsidR="00E52C8B">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52C8B">
              <w:rPr>
                <w:sz w:val="20"/>
                <w:szCs w:val="20"/>
              </w:rPr>
            </w:r>
            <w:r w:rsidR="00E52C8B">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52C8B">
              <w:rPr>
                <w:sz w:val="20"/>
                <w:szCs w:val="20"/>
              </w:rPr>
            </w:r>
            <w:r w:rsidR="00E52C8B">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454508" w:rsidRDefault="00454508" w:rsidP="00E04250">
            <w:r>
              <w:t>Process will be started late Fall 2016. Anticipated internships by Spring 2018</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454508">
        <w:rPr>
          <w:rFonts w:cstheme="minorHAnsi"/>
        </w:rPr>
        <w:t xml:space="preserve"> </w:t>
      </w:r>
      <w:r w:rsidR="00454508" w:rsidRPr="00454508">
        <w:rPr>
          <w:rFonts w:cstheme="minorHAnsi"/>
          <w:b/>
        </w:rPr>
        <w:t>There were no significant changes in any of these areas beyond 1 or 2 percentage points.</w:t>
      </w:r>
    </w:p>
    <w:p w:rsidR="006A796C" w:rsidRPr="00454508" w:rsidRDefault="006A796C" w:rsidP="00E04250">
      <w:pPr>
        <w:pStyle w:val="ListParagraph"/>
        <w:numPr>
          <w:ilvl w:val="0"/>
          <w:numId w:val="13"/>
        </w:numPr>
        <w:spacing w:after="0" w:line="240" w:lineRule="auto"/>
        <w:rPr>
          <w:rFonts w:cstheme="minorHAnsi"/>
          <w:b/>
        </w:rPr>
      </w:pPr>
      <w:r w:rsidRPr="00E04250">
        <w:rPr>
          <w:rFonts w:cstheme="minorHAnsi"/>
        </w:rPr>
        <w:t>Changes in enrollment (headcount, sections, course enrollment and productivity).</w:t>
      </w:r>
      <w:r w:rsidR="00454508">
        <w:rPr>
          <w:rFonts w:cstheme="minorHAnsi"/>
        </w:rPr>
        <w:t xml:space="preserve"> </w:t>
      </w:r>
      <w:r w:rsidR="00454508" w:rsidRPr="00454508">
        <w:rPr>
          <w:rFonts w:cstheme="minorHAnsi"/>
          <w:b/>
        </w:rPr>
        <w:t>Active sections increased from 51 to 56. Enrollment increased from 2,106 to 2,242. Students per section remained high at 40 students per section.</w:t>
      </w:r>
      <w:r w:rsidR="00454508">
        <w:rPr>
          <w:rFonts w:cstheme="minorHAnsi"/>
          <w:b/>
        </w:rPr>
        <w:t xml:space="preserve"> FTES increased from 221.7 to 235, and FTEF increased from 10.6 to 11.6</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454508">
        <w:rPr>
          <w:rFonts w:cstheme="minorHAnsi"/>
        </w:rPr>
        <w:t xml:space="preserve"> </w:t>
      </w:r>
      <w:r w:rsidR="00454508" w:rsidRPr="00454508">
        <w:rPr>
          <w:rFonts w:cstheme="minorHAnsi"/>
          <w:b/>
        </w:rPr>
        <w:t>Success increased from 77% to 78%, while retention rates were at 88%.</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454508">
        <w:rPr>
          <w:rFonts w:cstheme="minorHAnsi"/>
        </w:rPr>
        <w:t xml:space="preserve"> There were no significant changes from the previous year- enrollments continue to increase along with success and retention rates.</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454508">
        <w:rPr>
          <w:rFonts w:cstheme="minorHAnsi"/>
        </w:rPr>
        <w:t xml:space="preserve"> The program was able to add a third full time instructor which has greatly improved the program’s access to students and campus involvement.</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r w:rsidR="00454508">
        <w:rPr>
          <w:rFonts w:cstheme="minorHAnsi"/>
        </w:rPr>
        <w:t xml:space="preserve"> One of the three full time faculty is now department chair for behavioral sciences, which increases the need for adjunct instructors.</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lastRenderedPageBreak/>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r w:rsidR="00454508">
        <w:t>Faculty have attended numerous training sessions and workshops, such as Equity and Pathways. These opportunities have helped faculty further promote student success. Faculty have also helped other instructors become qualified to teach in Kern County prisons as part of a new state/Bakersfield College initiative. Faculty have also participated in the pre-law program, which has helped place several students on a pathway to law school.</w:t>
      </w:r>
    </w:p>
    <w:p w:rsidR="006340FF" w:rsidRDefault="00FD03FF" w:rsidP="00454508">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r w:rsidR="00454508">
        <w:t xml:space="preserve"> </w:t>
      </w:r>
      <w:r w:rsidR="00454508" w:rsidRPr="00454508">
        <w:t>Pat Smith has given several training sessions to faculty members about teaching practices in prisons. (safety, decorum, best practices, etc.) Depending on her schedule and other college commitments, she may be available in the future for additional training sessions.</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r w:rsidR="00454508">
        <w:rPr>
          <w:rFonts w:cstheme="minorHAnsi"/>
        </w:rPr>
        <w:t>The Program has not made any specific facilities requests for the upcoming year.</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454508">
        <w:t xml:space="preserve"> Faculty have utilized existing technology, such as the COWS units and classroom internet to improve student success and retention, particularly in regards to giving students visual examples of police practices and issues.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454508">
        <w:t xml:space="preserve"> The program is not requesting new or repurposed classrooms or equipment at this time.</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r w:rsidR="00454508">
        <w:t>Faculty have effectively used college-provided technology to promote student engagement and success. One example is using the Luminus platform to enable students to obtain necessary course materials. Faculty also use Moodle to make Criminal Justice courses available online.</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r w:rsidR="00454508">
        <w:rPr>
          <w:rFonts w:cstheme="minorHAnsi"/>
        </w:rPr>
        <w:t xml:space="preserve"> </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454508" w:rsidRPr="00454508" w:rsidRDefault="006340FF" w:rsidP="00454508">
      <w:pPr>
        <w:spacing w:after="0" w:line="240" w:lineRule="auto"/>
        <w:rPr>
          <w:b/>
        </w:rPr>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r w:rsidR="00454508">
        <w:t xml:space="preserve"> </w:t>
      </w:r>
      <w:r w:rsidR="00454508" w:rsidRPr="00454508">
        <w:rPr>
          <w:b/>
        </w:rPr>
        <w:t xml:space="preserve">The Criminal Justice Program continues to educate large numbers of students and continues to assist students in their successful efforts to obtain employment in the criminal justice field. Instructors have both academic and practical experience in the field which greatly benefits the students. Enrollment trends show an average increase of </w:t>
      </w:r>
      <w:r w:rsidR="00454508">
        <w:rPr>
          <w:b/>
        </w:rPr>
        <w:t xml:space="preserve">at least </w:t>
      </w:r>
      <w:r w:rsidR="00454508" w:rsidRPr="00454508">
        <w:rPr>
          <w:b/>
        </w:rPr>
        <w:t>4% every year since 2010-2011. Trendlines for sections offered, enrollment, FTES, FTEF, and product</w:t>
      </w:r>
      <w:r w:rsidR="00454508">
        <w:rPr>
          <w:b/>
        </w:rPr>
        <w:t>ivity all point strongly upward year after year. The Program has added another full-time instructor who, among other skills, has testified as an expert witness on criminal street gangs and is a leader in community outreach. Student enrollment increased by 138 from the previous year.</w:t>
      </w:r>
    </w:p>
    <w:p w:rsidR="00454508" w:rsidRDefault="00454508" w:rsidP="00454508">
      <w:pPr>
        <w:spacing w:after="0" w:line="240" w:lineRule="auto"/>
        <w:rPr>
          <w:b/>
          <w:sz w:val="20"/>
          <w:szCs w:val="20"/>
          <w:u w:val="single"/>
        </w:rPr>
      </w:pPr>
    </w:p>
    <w:p w:rsidR="00E04250" w:rsidRDefault="00E04250" w:rsidP="00E04250">
      <w:pPr>
        <w:spacing w:after="0" w:line="240" w:lineRule="auto"/>
        <w:rPr>
          <w:b/>
          <w:sz w:val="20"/>
          <w:szCs w:val="20"/>
          <w:u w:val="single"/>
        </w:rPr>
      </w:pP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AC0" w:rsidRDefault="009B6AC0">
      <w:pPr>
        <w:spacing w:after="0" w:line="240" w:lineRule="auto"/>
      </w:pPr>
      <w:r>
        <w:separator/>
      </w:r>
    </w:p>
  </w:endnote>
  <w:endnote w:type="continuationSeparator" w:id="0">
    <w:p w:rsidR="009B6AC0" w:rsidRDefault="009B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E52C8B" w:rsidRPr="00E52C8B">
      <w:rPr>
        <w:rFonts w:asciiTheme="minorHAnsi" w:eastAsiaTheme="majorEastAsia" w:hAnsiTheme="minorHAnsi" w:cstheme="minorHAnsi"/>
        <w:noProof/>
        <w:sz w:val="18"/>
        <w:szCs w:val="18"/>
      </w:rPr>
      <w:t>2</w:t>
    </w:r>
    <w:r w:rsidR="00966171" w:rsidRPr="00C73841">
      <w:rPr>
        <w:rFonts w:asciiTheme="minorHAnsi" w:eastAsiaTheme="majorEastAsia" w:hAnsiTheme="minorHAnsi" w:cstheme="minorHAnsi"/>
        <w:noProof/>
        <w:sz w:val="18"/>
        <w:szCs w:val="18"/>
      </w:rPr>
      <w:fldChar w:fldCharType="end"/>
    </w:r>
  </w:p>
  <w:p w:rsidR="0045584D" w:rsidRDefault="00E52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AC0" w:rsidRDefault="009B6AC0">
      <w:pPr>
        <w:spacing w:after="0" w:line="240" w:lineRule="auto"/>
      </w:pPr>
      <w:r>
        <w:separator/>
      </w:r>
    </w:p>
  </w:footnote>
  <w:footnote w:type="continuationSeparator" w:id="0">
    <w:p w:rsidR="009B6AC0" w:rsidRDefault="009B6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1"/>
  </w:num>
  <w:num w:numId="5">
    <w:abstractNumId w:val="4"/>
  </w:num>
  <w:num w:numId="6">
    <w:abstractNumId w:val="16"/>
  </w:num>
  <w:num w:numId="7">
    <w:abstractNumId w:val="10"/>
  </w:num>
  <w:num w:numId="8">
    <w:abstractNumId w:val="13"/>
  </w:num>
  <w:num w:numId="9">
    <w:abstractNumId w:val="17"/>
  </w:num>
  <w:num w:numId="10">
    <w:abstractNumId w:val="12"/>
  </w:num>
  <w:num w:numId="11">
    <w:abstractNumId w:val="5"/>
  </w:num>
  <w:num w:numId="12">
    <w:abstractNumId w:val="19"/>
  </w:num>
  <w:num w:numId="13">
    <w:abstractNumId w:val="18"/>
  </w:num>
  <w:num w:numId="14">
    <w:abstractNumId w:val="0"/>
  </w:num>
  <w:num w:numId="15">
    <w:abstractNumId w:val="2"/>
  </w:num>
  <w:num w:numId="16">
    <w:abstractNumId w:val="11"/>
  </w:num>
  <w:num w:numId="17">
    <w:abstractNumId w:val="9"/>
  </w:num>
  <w:num w:numId="18">
    <w:abstractNumId w:val="3"/>
  </w:num>
  <w:num w:numId="19">
    <w:abstractNumId w:val="20"/>
  </w:num>
  <w:num w:numId="20">
    <w:abstractNumId w:val="15"/>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C57A1"/>
    <w:rsid w:val="000F15E7"/>
    <w:rsid w:val="000F3AA2"/>
    <w:rsid w:val="00102476"/>
    <w:rsid w:val="00113E76"/>
    <w:rsid w:val="00160600"/>
    <w:rsid w:val="0019517F"/>
    <w:rsid w:val="001B247D"/>
    <w:rsid w:val="00233679"/>
    <w:rsid w:val="00242DCD"/>
    <w:rsid w:val="00273F7C"/>
    <w:rsid w:val="002D7005"/>
    <w:rsid w:val="00396AF3"/>
    <w:rsid w:val="003D27D1"/>
    <w:rsid w:val="003E6D1F"/>
    <w:rsid w:val="004055E2"/>
    <w:rsid w:val="004145C8"/>
    <w:rsid w:val="00426EA2"/>
    <w:rsid w:val="00454508"/>
    <w:rsid w:val="00494FE6"/>
    <w:rsid w:val="004A6B61"/>
    <w:rsid w:val="004D7FFA"/>
    <w:rsid w:val="004E7D0F"/>
    <w:rsid w:val="00507C0C"/>
    <w:rsid w:val="005209BA"/>
    <w:rsid w:val="00520C6E"/>
    <w:rsid w:val="005620FD"/>
    <w:rsid w:val="00572188"/>
    <w:rsid w:val="005744EB"/>
    <w:rsid w:val="0059381F"/>
    <w:rsid w:val="005B1ECE"/>
    <w:rsid w:val="005E583A"/>
    <w:rsid w:val="0060746E"/>
    <w:rsid w:val="006340FF"/>
    <w:rsid w:val="0063650E"/>
    <w:rsid w:val="00651A40"/>
    <w:rsid w:val="00670745"/>
    <w:rsid w:val="006A7208"/>
    <w:rsid w:val="006A796C"/>
    <w:rsid w:val="007A3CDB"/>
    <w:rsid w:val="0087586F"/>
    <w:rsid w:val="008B60D9"/>
    <w:rsid w:val="00961586"/>
    <w:rsid w:val="00966171"/>
    <w:rsid w:val="00996020"/>
    <w:rsid w:val="009A47DB"/>
    <w:rsid w:val="009B6AC0"/>
    <w:rsid w:val="009D6D50"/>
    <w:rsid w:val="00A07CDD"/>
    <w:rsid w:val="00A6058F"/>
    <w:rsid w:val="00A70D85"/>
    <w:rsid w:val="00AE05CC"/>
    <w:rsid w:val="00AE06EB"/>
    <w:rsid w:val="00B2405F"/>
    <w:rsid w:val="00B4368E"/>
    <w:rsid w:val="00B574C3"/>
    <w:rsid w:val="00B7484A"/>
    <w:rsid w:val="00B85C90"/>
    <w:rsid w:val="00B93A68"/>
    <w:rsid w:val="00B949F8"/>
    <w:rsid w:val="00BD25F6"/>
    <w:rsid w:val="00BD4AB8"/>
    <w:rsid w:val="00BF0F11"/>
    <w:rsid w:val="00C952BB"/>
    <w:rsid w:val="00CA5D66"/>
    <w:rsid w:val="00CC5658"/>
    <w:rsid w:val="00CD0C36"/>
    <w:rsid w:val="00CF3D41"/>
    <w:rsid w:val="00CF5417"/>
    <w:rsid w:val="00D062FE"/>
    <w:rsid w:val="00D90959"/>
    <w:rsid w:val="00DA0A51"/>
    <w:rsid w:val="00DA1872"/>
    <w:rsid w:val="00E04250"/>
    <w:rsid w:val="00E52C8B"/>
    <w:rsid w:val="00E96079"/>
    <w:rsid w:val="00EC1457"/>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191E2-203D-447D-B7C3-65444825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868417596">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E7F1-3641-48C8-B1E5-E299C7A9A18B}"/>
</file>

<file path=customXml/itemProps2.xml><?xml version="1.0" encoding="utf-8"?>
<ds:datastoreItem xmlns:ds="http://schemas.openxmlformats.org/officeDocument/2006/customXml" ds:itemID="{0C6FB914-3DBC-47A6-98DF-94DE2E80AFCD}">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527331AC-1AAA-48A2-A255-F525D3B9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Kristin Rabe</cp:lastModifiedBy>
  <cp:revision>2</cp:revision>
  <cp:lastPrinted>2014-05-01T20:00:00Z</cp:lastPrinted>
  <dcterms:created xsi:type="dcterms:W3CDTF">2017-01-23T21:49:00Z</dcterms:created>
  <dcterms:modified xsi:type="dcterms:W3CDTF">2017-01-23T21:49:00Z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