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D91D13">
        <w:t>Office of the Dean (Mathematics, Sciences, Academic Development)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A5020D">
        <w:rPr>
          <w:rFonts w:cstheme="minorHAnsi"/>
        </w:rPr>
      </w:r>
      <w:r w:rsidR="00A5020D">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5020D">
        <w:rPr>
          <w:rFonts w:cstheme="minorHAnsi"/>
        </w:rPr>
      </w:r>
      <w:r w:rsidR="00A5020D">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91D13">
        <w:rPr>
          <w:rFonts w:cstheme="minorHAnsi"/>
        </w:rPr>
        <w:fldChar w:fldCharType="begin">
          <w:ffData>
            <w:name w:val=""/>
            <w:enabled/>
            <w:calcOnExit w:val="0"/>
            <w:checkBox>
              <w:sizeAuto/>
              <w:default w:val="1"/>
            </w:checkBox>
          </w:ffData>
        </w:fldChar>
      </w:r>
      <w:r w:rsidR="00D91D13">
        <w:rPr>
          <w:rFonts w:cstheme="minorHAnsi"/>
        </w:rPr>
        <w:instrText xml:space="preserve"> FORMCHECKBOX </w:instrText>
      </w:r>
      <w:r w:rsidR="00D91D13">
        <w:rPr>
          <w:rFonts w:cstheme="minorHAnsi"/>
        </w:rPr>
      </w:r>
      <w:r w:rsidR="00D91D13">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Default="005620FD" w:rsidP="00E04250">
      <w:pPr>
        <w:spacing w:after="0" w:line="240" w:lineRule="auto"/>
      </w:pPr>
    </w:p>
    <w:p w:rsidR="00D91D13" w:rsidRPr="00D91D13" w:rsidRDefault="00D91D13" w:rsidP="00D91D13">
      <w:pPr>
        <w:spacing w:after="0" w:line="240" w:lineRule="auto"/>
        <w:ind w:left="360"/>
        <w:rPr>
          <w:rFonts w:asciiTheme="minorHAnsi" w:hAnsiTheme="minorHAnsi"/>
        </w:rPr>
      </w:pPr>
      <w:r w:rsidRPr="00DC08F1">
        <w:rPr>
          <w:rFonts w:asciiTheme="minorHAnsi" w:hAnsiTheme="minorHAnsi"/>
        </w:rPr>
        <w:t>As a unit of Academic Affairs, the mission of the Office of the Dean of Mathematics and Sciences is to provide leadership in the development and evaluation of instructional programs, academic support services, faculty, and curriculum to ensure integrity and excellence of academics in mathematics and science related disciplines at Bakersfield College.</w:t>
      </w:r>
    </w:p>
    <w:p w:rsidR="00D91D13" w:rsidRPr="00E04250" w:rsidRDefault="00D91D13" w:rsidP="00E04250">
      <w:pPr>
        <w:spacing w:after="0" w:line="240" w:lineRule="auto"/>
      </w:pPr>
    </w:p>
    <w:p w:rsidR="006A796C" w:rsidRDefault="006A796C" w:rsidP="00E04250">
      <w:pPr>
        <w:spacing w:after="0" w:line="240" w:lineRule="auto"/>
      </w:pPr>
      <w:r w:rsidRPr="00E04250">
        <w:t>Program Mission Statement:</w:t>
      </w:r>
    </w:p>
    <w:p w:rsidR="00D91D13" w:rsidRDefault="00D91D13" w:rsidP="00E04250">
      <w:pPr>
        <w:spacing w:after="0" w:line="240" w:lineRule="auto"/>
      </w:pPr>
    </w:p>
    <w:p w:rsidR="00D91D13" w:rsidRDefault="00D91D13" w:rsidP="00D91D13">
      <w:pPr>
        <w:ind w:left="360"/>
        <w:rPr>
          <w:rFonts w:asciiTheme="minorHAnsi" w:hAnsiTheme="minorHAnsi"/>
        </w:rPr>
      </w:pPr>
      <w:r w:rsidRPr="00DC08F1">
        <w:rPr>
          <w:rFonts w:asciiTheme="minorHAnsi" w:hAnsiTheme="minorHAnsi"/>
        </w:rPr>
        <w:t xml:space="preserve">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  </w:t>
      </w:r>
      <w:r>
        <w:rPr>
          <w:rFonts w:asciiTheme="minorHAnsi" w:hAnsiTheme="minorHAnsi"/>
        </w:rPr>
        <w:t>The Offic</w:t>
      </w:r>
      <w:r>
        <w:rPr>
          <w:rFonts w:asciiTheme="minorHAnsi" w:hAnsiTheme="minorHAnsi"/>
        </w:rPr>
        <w:t>e of the Dean of Mathematics,</w:t>
      </w:r>
      <w:r>
        <w:rPr>
          <w:rFonts w:asciiTheme="minorHAnsi" w:hAnsiTheme="minorHAnsi"/>
        </w:rPr>
        <w:t xml:space="preserve"> Sciences</w:t>
      </w:r>
      <w:r>
        <w:rPr>
          <w:rFonts w:asciiTheme="minorHAnsi" w:hAnsiTheme="minorHAnsi"/>
        </w:rPr>
        <w:t>, and Academic Development</w:t>
      </w:r>
      <w:r>
        <w:rPr>
          <w:rFonts w:asciiTheme="minorHAnsi" w:hAnsiTheme="minorHAnsi"/>
        </w:rPr>
        <w:t xml:space="preserve"> embraces the core values of the College: </w:t>
      </w:r>
    </w:p>
    <w:p w:rsidR="00D91D13" w:rsidRDefault="00D91D13" w:rsidP="00D91D13">
      <w:pPr>
        <w:pStyle w:val="ListParagraph"/>
        <w:numPr>
          <w:ilvl w:val="0"/>
          <w:numId w:val="23"/>
        </w:numPr>
        <w:rPr>
          <w:rFonts w:asciiTheme="minorHAnsi" w:hAnsiTheme="minorHAnsi"/>
        </w:rPr>
      </w:pPr>
      <w:proofErr w:type="gramStart"/>
      <w:r w:rsidRPr="006D366E">
        <w:rPr>
          <w:rFonts w:asciiTheme="minorHAnsi" w:hAnsiTheme="minorHAnsi"/>
        </w:rPr>
        <w:t>promoting</w:t>
      </w:r>
      <w:proofErr w:type="gramEnd"/>
      <w:r w:rsidRPr="006D366E">
        <w:rPr>
          <w:rFonts w:asciiTheme="minorHAnsi" w:hAnsiTheme="minorHAnsi"/>
        </w:rPr>
        <w:t xml:space="preserve"> rigorous </w:t>
      </w:r>
      <w:r w:rsidRPr="006D366E">
        <w:rPr>
          <w:rFonts w:asciiTheme="minorHAnsi" w:hAnsiTheme="minorHAnsi"/>
          <w:b/>
        </w:rPr>
        <w:t>learning</w:t>
      </w:r>
      <w:r w:rsidRPr="006D366E">
        <w:rPr>
          <w:rFonts w:asciiTheme="minorHAnsi" w:hAnsiTheme="minorHAnsi"/>
        </w:rPr>
        <w:t xml:space="preserve"> standards that are presented in a fashion </w:t>
      </w:r>
      <w:r>
        <w:rPr>
          <w:rFonts w:asciiTheme="minorHAnsi" w:hAnsiTheme="minorHAnsi"/>
        </w:rPr>
        <w:t>that</w:t>
      </w:r>
      <w:r w:rsidRPr="006D366E">
        <w:rPr>
          <w:rFonts w:asciiTheme="minorHAnsi" w:hAnsiTheme="minorHAnsi"/>
        </w:rPr>
        <w:t xml:space="preserve"> maximize student </w:t>
      </w:r>
      <w:r>
        <w:rPr>
          <w:rFonts w:asciiTheme="minorHAnsi" w:hAnsiTheme="minorHAnsi"/>
        </w:rPr>
        <w:t>success.</w:t>
      </w:r>
    </w:p>
    <w:p w:rsidR="00D91D13" w:rsidRDefault="00D91D13" w:rsidP="00D91D13">
      <w:pPr>
        <w:pStyle w:val="ListParagraph"/>
        <w:numPr>
          <w:ilvl w:val="0"/>
          <w:numId w:val="23"/>
        </w:numPr>
        <w:rPr>
          <w:rFonts w:asciiTheme="minorHAnsi" w:hAnsiTheme="minorHAnsi"/>
        </w:rPr>
      </w:pPr>
      <w:proofErr w:type="gramStart"/>
      <w:r w:rsidRPr="006D366E">
        <w:rPr>
          <w:rFonts w:asciiTheme="minorHAnsi" w:hAnsiTheme="minorHAnsi"/>
        </w:rPr>
        <w:t>approachin</w:t>
      </w:r>
      <w:r>
        <w:rPr>
          <w:rFonts w:asciiTheme="minorHAnsi" w:hAnsiTheme="minorHAnsi"/>
        </w:rPr>
        <w:t>g</w:t>
      </w:r>
      <w:proofErr w:type="gramEnd"/>
      <w:r>
        <w:rPr>
          <w:rFonts w:asciiTheme="minorHAnsi" w:hAnsiTheme="minorHAnsi"/>
        </w:rPr>
        <w:t xml:space="preserve"> all decisions with </w:t>
      </w:r>
      <w:r w:rsidRPr="006D366E">
        <w:rPr>
          <w:rFonts w:asciiTheme="minorHAnsi" w:hAnsiTheme="minorHAnsi"/>
          <w:b/>
        </w:rPr>
        <w:t>integrity</w:t>
      </w:r>
      <w:r>
        <w:rPr>
          <w:rFonts w:asciiTheme="minorHAnsi" w:hAnsiTheme="minorHAnsi"/>
        </w:rPr>
        <w:t xml:space="preserve">. </w:t>
      </w:r>
    </w:p>
    <w:p w:rsidR="00D91D13" w:rsidRDefault="00D91D13" w:rsidP="00D91D13">
      <w:pPr>
        <w:pStyle w:val="ListParagraph"/>
        <w:numPr>
          <w:ilvl w:val="0"/>
          <w:numId w:val="23"/>
        </w:numPr>
        <w:rPr>
          <w:rFonts w:asciiTheme="minorHAnsi" w:hAnsiTheme="minorHAnsi"/>
        </w:rPr>
      </w:pPr>
      <w:r w:rsidRPr="006D366E">
        <w:rPr>
          <w:rFonts w:asciiTheme="minorHAnsi" w:hAnsiTheme="minorHAnsi"/>
        </w:rPr>
        <w:t xml:space="preserve">assuring student, faculty, and staff </w:t>
      </w:r>
      <w:r w:rsidRPr="006D366E">
        <w:rPr>
          <w:rFonts w:asciiTheme="minorHAnsi" w:hAnsiTheme="minorHAnsi"/>
          <w:b/>
        </w:rPr>
        <w:t>wellness</w:t>
      </w:r>
      <w:r w:rsidRPr="006D366E">
        <w:rPr>
          <w:rFonts w:asciiTheme="minorHAnsi" w:hAnsiTheme="minorHAnsi"/>
        </w:rPr>
        <w:t xml:space="preserve"> through appropriate safety and training, </w:t>
      </w:r>
    </w:p>
    <w:p w:rsidR="00D91D13" w:rsidRDefault="00D91D13" w:rsidP="00D91D13">
      <w:pPr>
        <w:pStyle w:val="ListParagraph"/>
        <w:numPr>
          <w:ilvl w:val="0"/>
          <w:numId w:val="23"/>
        </w:numPr>
        <w:rPr>
          <w:rFonts w:asciiTheme="minorHAnsi" w:hAnsiTheme="minorHAnsi"/>
        </w:rPr>
      </w:pPr>
      <w:proofErr w:type="gramStart"/>
      <w:r w:rsidRPr="006D366E">
        <w:rPr>
          <w:rFonts w:asciiTheme="minorHAnsi" w:hAnsiTheme="minorHAnsi"/>
        </w:rPr>
        <w:t>embracing</w:t>
      </w:r>
      <w:proofErr w:type="gramEnd"/>
      <w:r w:rsidRPr="006D366E">
        <w:rPr>
          <w:rFonts w:asciiTheme="minorHAnsi" w:hAnsiTheme="minorHAnsi"/>
        </w:rPr>
        <w:t xml:space="preserve"> </w:t>
      </w:r>
      <w:r w:rsidRPr="00E25C6B">
        <w:rPr>
          <w:rFonts w:asciiTheme="minorHAnsi" w:hAnsiTheme="minorHAnsi"/>
          <w:b/>
        </w:rPr>
        <w:t>diversity</w:t>
      </w:r>
      <w:r w:rsidRPr="006D366E">
        <w:rPr>
          <w:rFonts w:asciiTheme="minorHAnsi" w:hAnsiTheme="minorHAnsi"/>
        </w:rPr>
        <w:t xml:space="preserve"> with equity with targeted </w:t>
      </w:r>
      <w:r>
        <w:rPr>
          <w:rFonts w:asciiTheme="minorHAnsi" w:hAnsiTheme="minorHAnsi"/>
        </w:rPr>
        <w:t>efforts such as MESA.</w:t>
      </w:r>
    </w:p>
    <w:p w:rsidR="00D91D13" w:rsidRDefault="00D91D13" w:rsidP="00D91D13">
      <w:pPr>
        <w:pStyle w:val="ListParagraph"/>
        <w:numPr>
          <w:ilvl w:val="0"/>
          <w:numId w:val="23"/>
        </w:numPr>
        <w:rPr>
          <w:rFonts w:asciiTheme="minorHAnsi" w:hAnsiTheme="minorHAnsi"/>
        </w:rPr>
      </w:pPr>
      <w:proofErr w:type="gramStart"/>
      <w:r w:rsidRPr="006D366E">
        <w:rPr>
          <w:rFonts w:asciiTheme="minorHAnsi" w:hAnsiTheme="minorHAnsi"/>
        </w:rPr>
        <w:t>serving</w:t>
      </w:r>
      <w:proofErr w:type="gramEnd"/>
      <w:r w:rsidRPr="006D366E">
        <w:rPr>
          <w:rFonts w:asciiTheme="minorHAnsi" w:hAnsiTheme="minorHAnsi"/>
        </w:rPr>
        <w:t xml:space="preserve"> the </w:t>
      </w:r>
      <w:r>
        <w:rPr>
          <w:rFonts w:asciiTheme="minorHAnsi" w:hAnsiTheme="minorHAnsi"/>
        </w:rPr>
        <w:t>BC</w:t>
      </w:r>
      <w:r w:rsidRPr="006D366E">
        <w:rPr>
          <w:rFonts w:asciiTheme="minorHAnsi" w:hAnsiTheme="minorHAnsi"/>
        </w:rPr>
        <w:t xml:space="preserve"> </w:t>
      </w:r>
      <w:r w:rsidRPr="00E25C6B">
        <w:rPr>
          <w:rFonts w:asciiTheme="minorHAnsi" w:hAnsiTheme="minorHAnsi"/>
          <w:b/>
        </w:rPr>
        <w:t>community</w:t>
      </w:r>
      <w:r>
        <w:rPr>
          <w:rFonts w:asciiTheme="minorHAnsi" w:hAnsiTheme="minorHAnsi"/>
        </w:rPr>
        <w:t xml:space="preserve"> with a voice for students, faculty, and staff in our processes and outreach to secondary education, transfer in</w:t>
      </w:r>
      <w:r>
        <w:rPr>
          <w:rFonts w:asciiTheme="minorHAnsi" w:hAnsiTheme="minorHAnsi"/>
        </w:rPr>
        <w:t>stitutions, and local employers.</w:t>
      </w:r>
    </w:p>
    <w:p w:rsidR="00D91D13" w:rsidRPr="00D91D13" w:rsidRDefault="00D91D13" w:rsidP="00D91D13">
      <w:pPr>
        <w:pStyle w:val="ListParagraph"/>
        <w:numPr>
          <w:ilvl w:val="0"/>
          <w:numId w:val="23"/>
        </w:numPr>
        <w:rPr>
          <w:rFonts w:asciiTheme="minorHAnsi" w:hAnsiTheme="minorHAnsi"/>
        </w:rPr>
      </w:pPr>
      <w:proofErr w:type="gramStart"/>
      <w:r w:rsidRPr="00D91D13">
        <w:rPr>
          <w:rFonts w:asciiTheme="minorHAnsi" w:hAnsiTheme="minorHAnsi"/>
        </w:rPr>
        <w:t>enhancing</w:t>
      </w:r>
      <w:proofErr w:type="gramEnd"/>
      <w:r w:rsidRPr="00D91D13">
        <w:rPr>
          <w:rFonts w:asciiTheme="minorHAnsi" w:hAnsiTheme="minorHAnsi"/>
        </w:rPr>
        <w:t xml:space="preserve"> </w:t>
      </w:r>
      <w:r w:rsidRPr="00D91D13">
        <w:rPr>
          <w:rFonts w:asciiTheme="minorHAnsi" w:hAnsiTheme="minorHAnsi"/>
          <w:b/>
        </w:rPr>
        <w:t>sustainability</w:t>
      </w:r>
      <w:r w:rsidRPr="00D91D13">
        <w:rPr>
          <w:rFonts w:asciiTheme="minorHAnsi" w:hAnsiTheme="minorHAnsi"/>
        </w:rPr>
        <w:t xml:space="preserve"> through professional development and grant and partnership funding of capital improvements.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D91D13" w:rsidRPr="00B75D62">
              <w:rPr>
                <w:sz w:val="20"/>
                <w:szCs w:val="20"/>
              </w:rPr>
              <w:t xml:space="preserve"> </w:t>
            </w:r>
            <w:r w:rsidR="00D91D13" w:rsidRPr="00B75D62">
              <w:rPr>
                <w:sz w:val="20"/>
                <w:szCs w:val="20"/>
              </w:rPr>
              <w:t>Evaluate and update pre-collegiate curriculum.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D91D1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D91D13"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D91D13" w:rsidRDefault="00D91D13" w:rsidP="00E04250">
            <w:pPr>
              <w:spacing w:after="0" w:line="240" w:lineRule="auto"/>
              <w:rPr>
                <w:rFonts w:eastAsiaTheme="minorHAnsi"/>
                <w:color w:val="000000"/>
                <w:sz w:val="20"/>
                <w:szCs w:val="20"/>
              </w:rPr>
            </w:pPr>
            <w:r w:rsidRPr="00D91D13">
              <w:rPr>
                <w:rFonts w:eastAsiaTheme="minorHAnsi"/>
                <w:color w:val="000000"/>
                <w:sz w:val="20"/>
                <w:szCs w:val="20"/>
              </w:rPr>
              <w:t>Math B65 was developed as an accelerated route to transfer-level MATH B22 and PSYC B5.</w:t>
            </w:r>
            <w:r>
              <w:rPr>
                <w:rFonts w:eastAsiaTheme="minorHAnsi"/>
                <w:color w:val="000000"/>
                <w:sz w:val="20"/>
                <w:szCs w:val="20"/>
              </w:rPr>
              <w:t xml:space="preserve"> Efforts to restructure the </w:t>
            </w:r>
            <w:proofErr w:type="spellStart"/>
            <w:r>
              <w:rPr>
                <w:rFonts w:eastAsiaTheme="minorHAnsi"/>
                <w:color w:val="000000"/>
                <w:sz w:val="20"/>
                <w:szCs w:val="20"/>
              </w:rPr>
              <w:t>MathLab</w:t>
            </w:r>
            <w:proofErr w:type="spellEnd"/>
            <w:r>
              <w:rPr>
                <w:rFonts w:eastAsiaTheme="minorHAnsi"/>
                <w:color w:val="000000"/>
                <w:sz w:val="20"/>
                <w:szCs w:val="20"/>
              </w:rPr>
              <w:t xml:space="preserve"> courses and compressed completion options for ACDV B72 are in progress.</w:t>
            </w:r>
          </w:p>
        </w:tc>
      </w:tr>
      <w:tr w:rsidR="006A796C" w:rsidRPr="00E04250" w:rsidTr="00D91D13">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D91D13">
              <w:rPr>
                <w:sz w:val="20"/>
                <w:szCs w:val="20"/>
              </w:rPr>
              <w:t xml:space="preserve"> </w:t>
            </w:r>
            <w:r w:rsidR="00D91D13">
              <w:rPr>
                <w:sz w:val="20"/>
                <w:szCs w:val="20"/>
              </w:rPr>
              <w:t>Develop a variety of summer bridge options.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D91D1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D91D13"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6A796C" w:rsidRPr="00D91D13" w:rsidRDefault="00D91D13" w:rsidP="00E04250">
            <w:pPr>
              <w:spacing w:after="0" w:line="240" w:lineRule="auto"/>
              <w:rPr>
                <w:rFonts w:eastAsiaTheme="minorHAnsi"/>
                <w:color w:val="000000"/>
                <w:sz w:val="20"/>
                <w:szCs w:val="20"/>
              </w:rPr>
            </w:pPr>
            <w:r w:rsidRPr="00D91D13">
              <w:rPr>
                <w:rFonts w:eastAsiaTheme="minorHAnsi"/>
                <w:color w:val="000000"/>
                <w:sz w:val="20"/>
                <w:szCs w:val="20"/>
              </w:rPr>
              <w:t>Summer Bridge was expanded and focused</w:t>
            </w:r>
            <w:r>
              <w:rPr>
                <w:rFonts w:eastAsiaTheme="minorHAnsi"/>
                <w:color w:val="000000"/>
                <w:sz w:val="20"/>
                <w:szCs w:val="20"/>
              </w:rPr>
              <w:t xml:space="preserve"> on </w:t>
            </w:r>
            <w:proofErr w:type="spellStart"/>
            <w:r>
              <w:rPr>
                <w:rFonts w:eastAsiaTheme="minorHAnsi"/>
                <w:color w:val="000000"/>
                <w:sz w:val="20"/>
                <w:szCs w:val="20"/>
              </w:rPr>
              <w:t>MetaMajors</w:t>
            </w:r>
            <w:proofErr w:type="spellEnd"/>
            <w:r>
              <w:rPr>
                <w:rFonts w:eastAsiaTheme="minorHAnsi"/>
                <w:color w:val="000000"/>
                <w:sz w:val="20"/>
                <w:szCs w:val="20"/>
              </w:rPr>
              <w:t xml:space="preserve"> in summer 2016. Title V grant funds will be used to make this course standard practice for incoming students from high schools in summer 2017.</w:t>
            </w:r>
          </w:p>
        </w:tc>
      </w:tr>
      <w:tr w:rsidR="00D91D13" w:rsidRPr="00E04250" w:rsidTr="00D91D13">
        <w:trPr>
          <w:trHeight w:val="67"/>
        </w:trPr>
        <w:tc>
          <w:tcPr>
            <w:tcW w:w="2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sz w:val="20"/>
                <w:szCs w:val="20"/>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rPr>
                <w:sz w:val="20"/>
                <w:szCs w:val="20"/>
              </w:rPr>
              <w:t xml:space="preserve">Support departments to expand academic engagement initiatives like thematic learning communities and service learning. </w:t>
            </w:r>
          </w:p>
          <w:p w:rsidR="00D91D13" w:rsidRPr="00E04250" w:rsidRDefault="00D91D13" w:rsidP="00D91D13">
            <w:pPr>
              <w:spacing w:after="0" w:line="240" w:lineRule="auto"/>
              <w:rPr>
                <w:rFonts w:eastAsiaTheme="minorHAnsi"/>
                <w:color w:val="000000"/>
                <w:sz w:val="24"/>
                <w:szCs w:val="24"/>
              </w:rPr>
            </w:pP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B75D62">
              <w:rPr>
                <w:b/>
                <w:sz w:val="20"/>
                <w:szCs w:val="20"/>
              </w:rPr>
              <w:t>X</w:t>
            </w:r>
            <w:r w:rsidRPr="00E04250">
              <w:rPr>
                <w:sz w:val="20"/>
                <w:szCs w:val="20"/>
              </w:rPr>
              <w:t xml:space="preserve"> </w:t>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1D13" w:rsidRPr="00E04250" w:rsidRDefault="00D91D13" w:rsidP="00D91D13">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1D13" w:rsidRDefault="00D91D13" w:rsidP="00D91D13">
            <w:pPr>
              <w:pStyle w:val="NoSpacing"/>
              <w:rPr>
                <w:b/>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91D13" w:rsidRPr="00A254C7" w:rsidRDefault="00D91D13" w:rsidP="00D91D13">
            <w:pPr>
              <w:spacing w:after="0" w:line="240" w:lineRule="auto"/>
              <w:rPr>
                <w:rFonts w:eastAsiaTheme="minorHAnsi"/>
                <w:color w:val="000000"/>
                <w:sz w:val="20"/>
                <w:szCs w:val="20"/>
              </w:rPr>
            </w:pPr>
            <w:r w:rsidRPr="00A254C7">
              <w:rPr>
                <w:rFonts w:eastAsiaTheme="minorHAnsi"/>
                <w:color w:val="000000"/>
                <w:sz w:val="20"/>
                <w:szCs w:val="20"/>
              </w:rPr>
              <w:t xml:space="preserve">The math department continues to support developmental-level learning communities to allow students to complete multiple math courses in the same semester. They also promote service learning with their active student Math Club. </w:t>
            </w:r>
            <w:r>
              <w:rPr>
                <w:rFonts w:eastAsiaTheme="minorHAnsi"/>
                <w:color w:val="000000"/>
                <w:sz w:val="20"/>
                <w:szCs w:val="20"/>
              </w:rPr>
              <w:t>A new Chemistry Club was started in the 2015-16 academic year.</w:t>
            </w:r>
          </w:p>
        </w:tc>
      </w:tr>
      <w:tr w:rsidR="00D91D13"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rFonts w:eastAsiaTheme="minorHAnsi"/>
                <w:color w:val="000000"/>
                <w:sz w:val="24"/>
                <w:szCs w:val="24"/>
              </w:rPr>
            </w:pPr>
            <w:r>
              <w:rPr>
                <w:rFonts w:eastAsiaTheme="minorHAnsi"/>
                <w:color w:val="000000"/>
                <w:sz w:val="24"/>
                <w:szCs w:val="24"/>
              </w:rPr>
              <w:t xml:space="preserve">4. </w:t>
            </w:r>
            <w:r w:rsidRPr="00A254C7">
              <w:rPr>
                <w:rFonts w:asciiTheme="minorHAnsi" w:hAnsiTheme="minorHAnsi"/>
                <w:color w:val="000000"/>
                <w:sz w:val="20"/>
                <w:szCs w:val="20"/>
              </w:rPr>
              <w:t>Manage the faculty evaluation and improvement process.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1D13" w:rsidRPr="00E04250" w:rsidRDefault="00D91D13" w:rsidP="00D91D13">
            <w:pPr>
              <w:pStyle w:val="NoSpacing"/>
              <w:rPr>
                <w:sz w:val="20"/>
                <w:szCs w:val="20"/>
              </w:rPr>
            </w:pPr>
            <w:r w:rsidRPr="00A254C7">
              <w:rPr>
                <w:b/>
                <w:sz w:val="20"/>
                <w:szCs w:val="20"/>
              </w:rPr>
              <w:t xml:space="preserve"> X</w:t>
            </w:r>
            <w:r w:rsidRPr="00E04250">
              <w:rPr>
                <w:sz w:val="20"/>
                <w:szCs w:val="20"/>
              </w:rPr>
              <w:t xml:space="preserve"> </w:t>
            </w:r>
            <w:r>
              <w:rPr>
                <w:sz w:val="20"/>
                <w:szCs w:val="20"/>
              </w:rPr>
              <w:t xml:space="preserve"> </w:t>
            </w:r>
            <w:r w:rsidRPr="00E04250">
              <w:rPr>
                <w:sz w:val="20"/>
                <w:szCs w:val="20"/>
              </w:rPr>
              <w:t xml:space="preserve">4: Oversight and Accountability           </w:t>
            </w:r>
          </w:p>
          <w:p w:rsidR="00D91D13" w:rsidRPr="00B75D62" w:rsidRDefault="00D91D13" w:rsidP="00D91D13">
            <w:pPr>
              <w:pStyle w:val="NoSpacing"/>
              <w:rPr>
                <w:b/>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D91D13" w:rsidRPr="00A254C7" w:rsidRDefault="00D91D13" w:rsidP="00D91D13">
            <w:pPr>
              <w:spacing w:after="0" w:line="240" w:lineRule="auto"/>
              <w:rPr>
                <w:rFonts w:eastAsiaTheme="minorHAnsi"/>
                <w:color w:val="000000"/>
                <w:sz w:val="20"/>
                <w:szCs w:val="20"/>
              </w:rPr>
            </w:pPr>
            <w:r>
              <w:rPr>
                <w:rFonts w:eastAsiaTheme="minorHAnsi"/>
                <w:color w:val="000000"/>
                <w:sz w:val="20"/>
                <w:szCs w:val="20"/>
              </w:rPr>
              <w:t>The office has scheduled and conducted faculty evaluations following the CCA agreement.</w:t>
            </w:r>
          </w:p>
        </w:tc>
      </w:tr>
      <w:tr w:rsidR="00D91D13"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rFonts w:eastAsiaTheme="minorHAnsi"/>
                <w:color w:val="000000"/>
                <w:sz w:val="24"/>
                <w:szCs w:val="24"/>
              </w:rPr>
            </w:pPr>
            <w:r>
              <w:rPr>
                <w:rFonts w:eastAsiaTheme="minorHAnsi"/>
                <w:color w:val="000000"/>
                <w:sz w:val="24"/>
                <w:szCs w:val="24"/>
              </w:rPr>
              <w:t xml:space="preserve">4. </w:t>
            </w:r>
            <w:r w:rsidRPr="00A254C7">
              <w:rPr>
                <w:rFonts w:asciiTheme="minorHAnsi" w:hAnsiTheme="minorHAnsi"/>
                <w:color w:val="000000"/>
                <w:sz w:val="20"/>
                <w:szCs w:val="20"/>
              </w:rPr>
              <w:t>Develop and manage a budget that supports the needs of the unit while maintaining the financial integrity of the college.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D91D13" w:rsidRPr="00E04250" w:rsidRDefault="00D91D13" w:rsidP="00D91D13">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3: Facilities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1D13" w:rsidRPr="00E04250" w:rsidRDefault="00D91D13" w:rsidP="00D91D13">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rFonts w:eastAsiaTheme="minorHAnsi"/>
                <w:color w:val="000000"/>
                <w:sz w:val="20"/>
                <w:szCs w:val="20"/>
              </w:rPr>
            </w:pPr>
            <w:r>
              <w:rPr>
                <w:rFonts w:eastAsiaTheme="minorHAnsi"/>
                <w:color w:val="000000"/>
                <w:sz w:val="20"/>
                <w:szCs w:val="20"/>
              </w:rPr>
              <w:t>The office has submitted a budget that matches growth and instructional improvement with needed funds. As the departments expand service to both main campus and BC sites, the need for supplies and travel are increasing. Request for additional funds has been limited to core needs.</w:t>
            </w:r>
          </w:p>
        </w:tc>
      </w:tr>
      <w:tr w:rsidR="00D91D13"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1D13" w:rsidRPr="00A254C7" w:rsidRDefault="00D91D13" w:rsidP="00D91D13">
            <w:pPr>
              <w:spacing w:after="0" w:line="240" w:lineRule="auto"/>
              <w:rPr>
                <w:rFonts w:eastAsiaTheme="minorHAnsi"/>
                <w:color w:val="000000"/>
                <w:sz w:val="24"/>
                <w:szCs w:val="24"/>
              </w:rPr>
            </w:pPr>
            <w:r>
              <w:rPr>
                <w:rFonts w:eastAsiaTheme="minorHAnsi"/>
                <w:color w:val="000000"/>
                <w:sz w:val="24"/>
                <w:szCs w:val="24"/>
              </w:rPr>
              <w:t xml:space="preserve">5. </w:t>
            </w:r>
            <w:r w:rsidRPr="00A254C7">
              <w:rPr>
                <w:rFonts w:asciiTheme="minorHAnsi" w:hAnsiTheme="minorHAnsi"/>
                <w:sz w:val="20"/>
                <w:szCs w:val="20"/>
              </w:rPr>
              <w:t xml:space="preserve">Increase student participation in academic support services.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1D13" w:rsidRPr="00E04250" w:rsidRDefault="00D91D13" w:rsidP="00D91D13">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Pr>
                <w:sz w:val="20"/>
                <w:szCs w:val="20"/>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rFonts w:eastAsiaTheme="minorHAnsi"/>
                <w:color w:val="000000"/>
                <w:sz w:val="20"/>
                <w:szCs w:val="20"/>
              </w:rPr>
            </w:pPr>
            <w:r>
              <w:rPr>
                <w:rFonts w:eastAsiaTheme="minorHAnsi"/>
                <w:color w:val="000000"/>
                <w:sz w:val="20"/>
                <w:szCs w:val="20"/>
              </w:rPr>
              <w:t>The office supports student advising and counseling through the STEM, MESA, Title V, and Basic Skills programs, which are grant-funded. These programs connect students directly to dedicated advisors, academic tutors, and transfer advisors. The office has started and will expand Basic Skills Extended Classrooms through the year.</w:t>
            </w:r>
          </w:p>
        </w:tc>
      </w:tr>
      <w:tr w:rsidR="00D91D13"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1D13" w:rsidRPr="00C962DB" w:rsidRDefault="00D91D13" w:rsidP="00D91D13">
            <w:pPr>
              <w:spacing w:after="0" w:line="240" w:lineRule="auto"/>
              <w:rPr>
                <w:rFonts w:eastAsiaTheme="minorHAnsi"/>
                <w:color w:val="000000"/>
                <w:sz w:val="24"/>
                <w:szCs w:val="24"/>
              </w:rPr>
            </w:pPr>
            <w:r>
              <w:rPr>
                <w:rFonts w:eastAsiaTheme="minorHAnsi"/>
                <w:color w:val="000000"/>
                <w:sz w:val="24"/>
                <w:szCs w:val="24"/>
              </w:rPr>
              <w:t xml:space="preserve">6.  </w:t>
            </w:r>
            <w:r w:rsidRPr="00C962DB">
              <w:rPr>
                <w:rFonts w:asciiTheme="minorHAnsi" w:hAnsiTheme="minorHAnsi"/>
                <w:sz w:val="20"/>
                <w:szCs w:val="20"/>
              </w:rPr>
              <w:t xml:space="preserve">Evaluate and expand accelerated and compressed curriculum.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1D13" w:rsidRPr="00E04250" w:rsidRDefault="00D91D13" w:rsidP="00D91D13">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Pr>
                <w:sz w:val="20"/>
                <w:szCs w:val="20"/>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D91D13" w:rsidRDefault="00D91D13" w:rsidP="00D91D13">
            <w:pPr>
              <w:spacing w:after="0" w:line="240" w:lineRule="auto"/>
              <w:rPr>
                <w:rFonts w:eastAsiaTheme="minorHAnsi"/>
                <w:color w:val="000000"/>
                <w:sz w:val="20"/>
                <w:szCs w:val="20"/>
              </w:rPr>
            </w:pPr>
            <w:r>
              <w:rPr>
                <w:rFonts w:eastAsiaTheme="minorHAnsi"/>
                <w:color w:val="000000"/>
                <w:sz w:val="20"/>
                <w:szCs w:val="20"/>
              </w:rPr>
              <w:t>The math department offers compressed “late start” developmental courses through the Math Learning Center. An additional ACDV B72 compressed course is being development for pilot in Fall 2017.</w:t>
            </w:r>
          </w:p>
        </w:tc>
      </w:tr>
      <w:tr w:rsidR="00D91D13"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1D13" w:rsidRPr="007D1DA7" w:rsidRDefault="00D91D13" w:rsidP="00D91D13">
            <w:pPr>
              <w:spacing w:after="0" w:line="240" w:lineRule="auto"/>
              <w:ind w:left="44"/>
              <w:rPr>
                <w:rFonts w:asciiTheme="majorHAnsi" w:hAnsiTheme="majorHAnsi"/>
              </w:rPr>
            </w:pPr>
            <w:r w:rsidRPr="007D1DA7">
              <w:rPr>
                <w:rFonts w:eastAsiaTheme="minorHAnsi"/>
                <w:color w:val="000000"/>
                <w:sz w:val="24"/>
                <w:szCs w:val="24"/>
              </w:rPr>
              <w:t xml:space="preserve">7. </w:t>
            </w:r>
            <w:r w:rsidRPr="007D1DA7">
              <w:rPr>
                <w:rFonts w:asciiTheme="minorHAnsi" w:hAnsiTheme="minorHAnsi"/>
                <w:sz w:val="20"/>
                <w:szCs w:val="20"/>
              </w:rPr>
              <w:t xml:space="preserve">Ensure the alignment of curriculum to state </w:t>
            </w:r>
            <w:r>
              <w:rPr>
                <w:rFonts w:asciiTheme="minorHAnsi" w:hAnsiTheme="minorHAnsi"/>
                <w:sz w:val="20"/>
                <w:szCs w:val="20"/>
              </w:rPr>
              <w:br/>
            </w:r>
            <w:r w:rsidRPr="007D1DA7">
              <w:rPr>
                <w:rFonts w:asciiTheme="minorHAnsi" w:hAnsiTheme="minorHAnsi"/>
                <w:sz w:val="20"/>
                <w:szCs w:val="20"/>
              </w:rPr>
              <w:t>C-IDs, submission of an AS-T in Chemistry, and accuracy of current curriculum.</w:t>
            </w:r>
          </w:p>
          <w:p w:rsidR="00D91D13" w:rsidRDefault="00D91D13" w:rsidP="00D91D13">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D91D13" w:rsidRPr="00E04250" w:rsidRDefault="00D91D13" w:rsidP="00D91D13">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D91D13" w:rsidRPr="00E04250" w:rsidRDefault="00D91D13" w:rsidP="00D91D13">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D91D13" w:rsidRPr="00E04250" w:rsidRDefault="00D91D13" w:rsidP="00D91D1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D91D13" w:rsidRPr="00E04250" w:rsidRDefault="00D91D13" w:rsidP="00D91D13">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D91D13" w:rsidRPr="00E04250" w:rsidRDefault="00D91D13" w:rsidP="00D91D13">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D91D13" w:rsidRPr="00E04250" w:rsidRDefault="00D91D13" w:rsidP="00D91D13">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D91D13" w:rsidRPr="00E04250" w:rsidRDefault="00D91D13" w:rsidP="00D91D13">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Pr>
                <w:sz w:val="20"/>
                <w:szCs w:val="20"/>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D91D13" w:rsidRDefault="00D91D13" w:rsidP="006B5398">
            <w:pPr>
              <w:spacing w:after="0" w:line="240" w:lineRule="auto"/>
              <w:rPr>
                <w:rFonts w:eastAsiaTheme="minorHAnsi"/>
                <w:color w:val="000000"/>
                <w:sz w:val="20"/>
                <w:szCs w:val="20"/>
              </w:rPr>
            </w:pPr>
            <w:r>
              <w:rPr>
                <w:rFonts w:eastAsiaTheme="minorHAnsi"/>
                <w:color w:val="000000"/>
                <w:sz w:val="20"/>
                <w:szCs w:val="20"/>
              </w:rPr>
              <w:t xml:space="preserve">The chemistry </w:t>
            </w:r>
            <w:r w:rsidR="006B5398">
              <w:rPr>
                <w:rFonts w:eastAsiaTheme="minorHAnsi"/>
                <w:color w:val="000000"/>
                <w:sz w:val="20"/>
                <w:szCs w:val="20"/>
              </w:rPr>
              <w:t xml:space="preserve">and biology </w:t>
            </w:r>
            <w:r>
              <w:rPr>
                <w:rFonts w:eastAsiaTheme="minorHAnsi"/>
                <w:color w:val="000000"/>
                <w:sz w:val="20"/>
                <w:szCs w:val="20"/>
              </w:rPr>
              <w:t>AS-T program</w:t>
            </w:r>
            <w:r w:rsidR="006B5398">
              <w:rPr>
                <w:rFonts w:eastAsiaTheme="minorHAnsi"/>
                <w:color w:val="000000"/>
                <w:sz w:val="20"/>
                <w:szCs w:val="20"/>
              </w:rPr>
              <w:t>s were</w:t>
            </w:r>
            <w:r>
              <w:rPr>
                <w:rFonts w:eastAsiaTheme="minorHAnsi"/>
                <w:color w:val="000000"/>
                <w:sz w:val="20"/>
                <w:szCs w:val="20"/>
              </w:rPr>
              <w:t xml:space="preserve"> submitted </w:t>
            </w:r>
            <w:r w:rsidR="006B5398">
              <w:rPr>
                <w:rFonts w:eastAsiaTheme="minorHAnsi"/>
                <w:color w:val="000000"/>
                <w:sz w:val="20"/>
                <w:szCs w:val="20"/>
              </w:rPr>
              <w:t>in the 2015-16 academic year and are being finalized at the State level.</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5020D">
              <w:rPr>
                <w:sz w:val="20"/>
                <w:szCs w:val="20"/>
              </w:rPr>
            </w:r>
            <w:r w:rsidR="00A5020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6B5398">
        <w:rPr>
          <w:rFonts w:cstheme="minorHAnsi"/>
        </w:rPr>
        <w:t xml:space="preserve"> </w:t>
      </w:r>
      <w:r w:rsidR="006B5398">
        <w:rPr>
          <w:rFonts w:cstheme="minorHAnsi"/>
        </w:rPr>
        <w:t>The demographics of the departments within the instructional unit remained</w:t>
      </w:r>
      <w:r w:rsidR="006B5398">
        <w:rPr>
          <w:rFonts w:cstheme="minorHAnsi"/>
        </w:rPr>
        <w:t xml:space="preserve"> essentially</w:t>
      </w:r>
      <w:r w:rsidR="006B5398">
        <w:rPr>
          <w:rFonts w:cstheme="minorHAnsi"/>
        </w:rPr>
        <w:t xml:space="preserve"> constant over the year.</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B5398" w:rsidRDefault="006B5398" w:rsidP="006B5398">
      <w:pPr>
        <w:pStyle w:val="ListParagraph"/>
        <w:spacing w:after="0" w:line="240" w:lineRule="auto"/>
        <w:ind w:left="360"/>
        <w:rPr>
          <w:rFonts w:cstheme="minorHAnsi"/>
        </w:rPr>
      </w:pPr>
      <w:r>
        <w:rPr>
          <w:rFonts w:cstheme="minorHAnsi"/>
        </w:rPr>
        <w:t>Headcount: 201570 – 12,065 to 201670 – 10,854</w:t>
      </w:r>
    </w:p>
    <w:p w:rsidR="006B5398" w:rsidRDefault="006B5398" w:rsidP="006B5398">
      <w:pPr>
        <w:pStyle w:val="ListParagraph"/>
        <w:spacing w:after="0" w:line="240" w:lineRule="auto"/>
        <w:ind w:left="360"/>
        <w:rPr>
          <w:rFonts w:cstheme="minorHAnsi"/>
        </w:rPr>
      </w:pPr>
      <w:r>
        <w:rPr>
          <w:rFonts w:cstheme="minorHAnsi"/>
        </w:rPr>
        <w:t xml:space="preserve">Sections: 201570 – 322 to 201670 </w:t>
      </w:r>
      <w:r w:rsidR="00054FFA">
        <w:rPr>
          <w:rFonts w:cstheme="minorHAnsi"/>
        </w:rPr>
        <w:t>–</w:t>
      </w:r>
      <w:r>
        <w:rPr>
          <w:rFonts w:cstheme="minorHAnsi"/>
        </w:rPr>
        <w:t xml:space="preserve"> </w:t>
      </w:r>
      <w:r w:rsidR="00054FFA">
        <w:rPr>
          <w:rFonts w:cstheme="minorHAnsi"/>
        </w:rPr>
        <w:t>322</w:t>
      </w:r>
    </w:p>
    <w:p w:rsidR="00054FFA" w:rsidRDefault="00054FFA" w:rsidP="006B5398">
      <w:pPr>
        <w:pStyle w:val="ListParagraph"/>
        <w:spacing w:after="0" w:line="240" w:lineRule="auto"/>
        <w:ind w:left="360"/>
        <w:rPr>
          <w:rFonts w:cstheme="minorHAnsi"/>
        </w:rPr>
      </w:pPr>
      <w:r>
        <w:rPr>
          <w:rFonts w:cstheme="minorHAnsi"/>
        </w:rPr>
        <w:t>FTES: 201570 – 1557.0 to 201670 – 1550.5</w:t>
      </w:r>
    </w:p>
    <w:p w:rsidR="00054FFA" w:rsidRDefault="00054FFA" w:rsidP="006B5398">
      <w:pPr>
        <w:pStyle w:val="ListParagraph"/>
        <w:spacing w:after="0" w:line="240" w:lineRule="auto"/>
        <w:ind w:left="360"/>
        <w:rPr>
          <w:rFonts w:cstheme="minorHAnsi"/>
        </w:rPr>
      </w:pPr>
      <w:r>
        <w:rPr>
          <w:rFonts w:cstheme="minorHAnsi"/>
        </w:rPr>
        <w:t>FTEF: 201570 – 84.8 to 201670 – 88.6</w:t>
      </w:r>
    </w:p>
    <w:p w:rsidR="00054FFA" w:rsidRDefault="00054FFA" w:rsidP="006B5398">
      <w:pPr>
        <w:pStyle w:val="ListParagraph"/>
        <w:spacing w:after="0" w:line="240" w:lineRule="auto"/>
        <w:ind w:left="360"/>
        <w:rPr>
          <w:rFonts w:cstheme="minorHAnsi"/>
        </w:rPr>
      </w:pPr>
      <w:r>
        <w:rPr>
          <w:rFonts w:cstheme="minorHAnsi"/>
        </w:rPr>
        <w:t>FTES/FTEF: 201570 – 18.5 to 201670 – 17.5</w:t>
      </w:r>
    </w:p>
    <w:p w:rsidR="00054FFA" w:rsidRDefault="00054FFA" w:rsidP="006B5398">
      <w:pPr>
        <w:pStyle w:val="ListParagraph"/>
        <w:spacing w:after="0" w:line="240" w:lineRule="auto"/>
        <w:ind w:left="360"/>
        <w:rPr>
          <w:rFonts w:cstheme="minorHAnsi"/>
        </w:rPr>
      </w:pPr>
    </w:p>
    <w:p w:rsidR="00054FFA" w:rsidRDefault="00054FFA" w:rsidP="006B5398">
      <w:pPr>
        <w:pStyle w:val="ListParagraph"/>
        <w:spacing w:after="0" w:line="240" w:lineRule="auto"/>
        <w:ind w:left="360"/>
        <w:rPr>
          <w:rFonts w:cstheme="minorHAnsi"/>
        </w:rPr>
      </w:pPr>
      <w:r>
        <w:rPr>
          <w:rFonts w:cstheme="minorHAnsi"/>
        </w:rPr>
        <w:t>Decrease from 201570 to 201670 is predominately from having more late start sections of ACDV and MATH courses this semester that have not yet reached their census enrollment dates.</w:t>
      </w:r>
    </w:p>
    <w:p w:rsidR="006B5398" w:rsidRPr="00E04250" w:rsidRDefault="006B5398" w:rsidP="006B5398">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tbl>
      <w:tblPr>
        <w:tblW w:w="7520" w:type="dxa"/>
        <w:tblInd w:w="720" w:type="dxa"/>
        <w:tblLook w:val="04A0" w:firstRow="1" w:lastRow="0" w:firstColumn="1" w:lastColumn="0" w:noHBand="0" w:noVBand="1"/>
      </w:tblPr>
      <w:tblGrid>
        <w:gridCol w:w="1255"/>
        <w:gridCol w:w="1465"/>
        <w:gridCol w:w="1460"/>
        <w:gridCol w:w="1600"/>
        <w:gridCol w:w="1740"/>
      </w:tblGrid>
      <w:tr w:rsidR="00B10EE6" w:rsidRPr="00B10EE6" w:rsidTr="00B10EE6">
        <w:trPr>
          <w:trHeight w:val="280"/>
        </w:trPr>
        <w:tc>
          <w:tcPr>
            <w:tcW w:w="1255" w:type="dxa"/>
            <w:tcBorders>
              <w:top w:val="single" w:sz="4" w:space="0" w:color="000000"/>
              <w:left w:val="single" w:sz="4" w:space="0" w:color="000000"/>
              <w:bottom w:val="single" w:sz="4" w:space="0" w:color="000000"/>
              <w:right w:val="nil"/>
            </w:tcBorders>
            <w:shd w:val="clear" w:color="000000" w:fill="F7F7E7"/>
            <w:noWrap/>
            <w:hideMark/>
          </w:tcPr>
          <w:p w:rsidR="00B10EE6" w:rsidRPr="00B10EE6" w:rsidRDefault="00B10EE6" w:rsidP="00B10EE6">
            <w:pPr>
              <w:spacing w:after="0" w:line="240" w:lineRule="auto"/>
              <w:jc w:val="right"/>
              <w:rPr>
                <w:rFonts w:ascii="Arial" w:eastAsia="Times New Roman" w:hAnsi="Arial" w:cs="Arial"/>
                <w:color w:val="000000"/>
                <w:sz w:val="2"/>
                <w:szCs w:val="2"/>
              </w:rPr>
            </w:pPr>
            <w:r w:rsidRPr="00B10EE6">
              <w:rPr>
                <w:rFonts w:ascii="Arial" w:eastAsia="Times New Roman" w:hAnsi="Arial" w:cs="Arial"/>
                <w:color w:val="000000"/>
                <w:sz w:val="2"/>
                <w:szCs w:val="2"/>
              </w:rPr>
              <w:t>0</w:t>
            </w:r>
          </w:p>
        </w:tc>
        <w:tc>
          <w:tcPr>
            <w:tcW w:w="1465" w:type="dxa"/>
            <w:tcBorders>
              <w:top w:val="single" w:sz="4" w:space="0" w:color="000000"/>
              <w:left w:val="nil"/>
              <w:bottom w:val="single" w:sz="4" w:space="0" w:color="000000"/>
              <w:right w:val="single" w:sz="4" w:space="0" w:color="000000"/>
            </w:tcBorders>
            <w:shd w:val="clear" w:color="000000" w:fill="F7F7E7"/>
            <w:noWrap/>
            <w:hideMark/>
          </w:tcPr>
          <w:p w:rsidR="00B10EE6" w:rsidRPr="00B10EE6" w:rsidRDefault="00B10EE6" w:rsidP="00B10EE6">
            <w:pPr>
              <w:spacing w:after="0" w:line="240" w:lineRule="auto"/>
              <w:jc w:val="right"/>
              <w:rPr>
                <w:rFonts w:ascii="Arial" w:eastAsia="Times New Roman" w:hAnsi="Arial" w:cs="Arial"/>
                <w:color w:val="000000"/>
                <w:sz w:val="2"/>
                <w:szCs w:val="2"/>
              </w:rPr>
            </w:pPr>
            <w:r w:rsidRPr="00B10EE6">
              <w:rPr>
                <w:rFonts w:ascii="Arial" w:eastAsia="Times New Roman" w:hAnsi="Arial" w:cs="Arial"/>
                <w:color w:val="000000"/>
                <w:sz w:val="2"/>
                <w:szCs w:val="2"/>
              </w:rPr>
              <w:t>0</w:t>
            </w:r>
          </w:p>
        </w:tc>
        <w:tc>
          <w:tcPr>
            <w:tcW w:w="1460" w:type="dxa"/>
            <w:tcBorders>
              <w:top w:val="single" w:sz="4" w:space="0" w:color="000000"/>
              <w:left w:val="nil"/>
              <w:bottom w:val="single" w:sz="4" w:space="0" w:color="000000"/>
              <w:right w:val="single" w:sz="4" w:space="0" w:color="000000"/>
            </w:tcBorders>
            <w:shd w:val="clear" w:color="000000" w:fill="C6C6C6"/>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Sections</w:t>
            </w:r>
          </w:p>
        </w:tc>
        <w:tc>
          <w:tcPr>
            <w:tcW w:w="1600" w:type="dxa"/>
            <w:tcBorders>
              <w:top w:val="single" w:sz="4" w:space="0" w:color="000000"/>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center"/>
              <w:rPr>
                <w:rFonts w:ascii="Arial" w:eastAsia="Times New Roman" w:hAnsi="Arial" w:cs="Arial"/>
                <w:b/>
                <w:bCs/>
                <w:color w:val="000000"/>
              </w:rPr>
            </w:pPr>
            <w:r w:rsidRPr="00B10EE6">
              <w:rPr>
                <w:rFonts w:ascii="Arial" w:eastAsia="Times New Roman" w:hAnsi="Arial" w:cs="Arial"/>
                <w:b/>
                <w:bCs/>
                <w:color w:val="000000"/>
              </w:rPr>
              <w:t>Retention Rate</w:t>
            </w:r>
          </w:p>
        </w:tc>
        <w:tc>
          <w:tcPr>
            <w:tcW w:w="1740" w:type="dxa"/>
            <w:tcBorders>
              <w:top w:val="single" w:sz="4" w:space="0" w:color="000000"/>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center"/>
              <w:rPr>
                <w:rFonts w:ascii="Arial" w:eastAsia="Times New Roman" w:hAnsi="Arial" w:cs="Arial"/>
                <w:b/>
                <w:bCs/>
                <w:color w:val="000000"/>
              </w:rPr>
            </w:pPr>
            <w:r w:rsidRPr="00B10EE6">
              <w:rPr>
                <w:rFonts w:ascii="Arial" w:eastAsia="Times New Roman" w:hAnsi="Arial" w:cs="Arial"/>
                <w:b/>
                <w:bCs/>
                <w:color w:val="000000"/>
              </w:rPr>
              <w:t>Success Rate</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2015-16</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201630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310</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82.6%</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56.7%</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201570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317</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83.6%</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57.6%</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201550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99</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88.6%</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71.3%</w:t>
            </w:r>
          </w:p>
        </w:tc>
      </w:tr>
      <w:tr w:rsidR="00B10EE6" w:rsidRPr="00B10EE6" w:rsidTr="00B10EE6">
        <w:trPr>
          <w:trHeight w:val="280"/>
        </w:trPr>
        <w:tc>
          <w:tcPr>
            <w:tcW w:w="1255" w:type="dxa"/>
            <w:tcBorders>
              <w:top w:val="nil"/>
              <w:left w:val="single" w:sz="4" w:space="0" w:color="000000"/>
              <w:bottom w:val="single" w:sz="4" w:space="0" w:color="000000"/>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Sum</w:t>
            </w:r>
          </w:p>
        </w:tc>
        <w:tc>
          <w:tcPr>
            <w:tcW w:w="146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726</w:t>
            </w:r>
          </w:p>
        </w:tc>
        <w:tc>
          <w:tcPr>
            <w:tcW w:w="160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83.7%</w:t>
            </w:r>
          </w:p>
        </w:tc>
        <w:tc>
          <w:tcPr>
            <w:tcW w:w="174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58.8%</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2014-15</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201530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306</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84.9%</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59.0%</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201470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302</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82.6%</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57.8%</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201450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76</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85.8%</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67.8%</w:t>
            </w:r>
          </w:p>
        </w:tc>
      </w:tr>
      <w:tr w:rsidR="00B10EE6" w:rsidRPr="00B10EE6" w:rsidTr="00B10EE6">
        <w:trPr>
          <w:trHeight w:val="280"/>
        </w:trPr>
        <w:tc>
          <w:tcPr>
            <w:tcW w:w="1255" w:type="dxa"/>
            <w:tcBorders>
              <w:top w:val="nil"/>
              <w:left w:val="single" w:sz="4" w:space="0" w:color="000000"/>
              <w:bottom w:val="single" w:sz="4" w:space="0" w:color="000000"/>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Sum</w:t>
            </w:r>
          </w:p>
        </w:tc>
        <w:tc>
          <w:tcPr>
            <w:tcW w:w="146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684</w:t>
            </w:r>
          </w:p>
        </w:tc>
        <w:tc>
          <w:tcPr>
            <w:tcW w:w="160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83.9%</w:t>
            </w:r>
          </w:p>
        </w:tc>
        <w:tc>
          <w:tcPr>
            <w:tcW w:w="174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59.4%</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2013-14</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201430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287</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85.2%</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60.8%</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201370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291</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82.1%</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56.9%</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201350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77</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85.7%</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66.9%</w:t>
            </w:r>
          </w:p>
        </w:tc>
      </w:tr>
      <w:tr w:rsidR="00B10EE6" w:rsidRPr="00B10EE6" w:rsidTr="00B10EE6">
        <w:trPr>
          <w:trHeight w:val="280"/>
        </w:trPr>
        <w:tc>
          <w:tcPr>
            <w:tcW w:w="1255" w:type="dxa"/>
            <w:tcBorders>
              <w:top w:val="nil"/>
              <w:left w:val="single" w:sz="4" w:space="0" w:color="000000"/>
              <w:bottom w:val="single" w:sz="4" w:space="0" w:color="000000"/>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Sum</w:t>
            </w:r>
          </w:p>
        </w:tc>
        <w:tc>
          <w:tcPr>
            <w:tcW w:w="146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655</w:t>
            </w:r>
          </w:p>
        </w:tc>
        <w:tc>
          <w:tcPr>
            <w:tcW w:w="160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83.8%</w:t>
            </w:r>
          </w:p>
        </w:tc>
        <w:tc>
          <w:tcPr>
            <w:tcW w:w="174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59.6%</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2012-13</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201330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291</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81.8%</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56.4%</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201270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282</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83.3%</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59.7%</w:t>
            </w:r>
          </w:p>
        </w:tc>
      </w:tr>
      <w:tr w:rsidR="00B10EE6" w:rsidRPr="00B10EE6" w:rsidTr="00B10EE6">
        <w:trPr>
          <w:trHeight w:val="280"/>
        </w:trPr>
        <w:tc>
          <w:tcPr>
            <w:tcW w:w="1255" w:type="dxa"/>
            <w:tcBorders>
              <w:top w:val="nil"/>
              <w:left w:val="single" w:sz="4" w:space="0" w:color="000000"/>
              <w:bottom w:val="nil"/>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E0E0E0"/>
            <w:noWrap/>
            <w:hideMark/>
          </w:tcPr>
          <w:p w:rsidR="00B10EE6" w:rsidRPr="00B10EE6" w:rsidRDefault="00B10EE6" w:rsidP="00B10EE6">
            <w:pPr>
              <w:spacing w:after="0" w:line="240" w:lineRule="auto"/>
              <w:rPr>
                <w:rFonts w:ascii="Arial" w:eastAsia="Times New Roman" w:hAnsi="Arial" w:cs="Arial"/>
                <w:color w:val="000000"/>
              </w:rPr>
            </w:pPr>
            <w:r w:rsidRPr="00B10EE6">
              <w:rPr>
                <w:rFonts w:ascii="Arial" w:eastAsia="Times New Roman" w:hAnsi="Arial" w:cs="Arial"/>
                <w:color w:val="000000"/>
              </w:rPr>
              <w:t>201250</w:t>
            </w:r>
          </w:p>
        </w:tc>
        <w:tc>
          <w:tcPr>
            <w:tcW w:w="1460" w:type="dxa"/>
            <w:tcBorders>
              <w:top w:val="nil"/>
              <w:left w:val="nil"/>
              <w:bottom w:val="single" w:sz="4" w:space="0" w:color="000000"/>
              <w:right w:val="single" w:sz="4" w:space="0" w:color="000000"/>
            </w:tcBorders>
            <w:shd w:val="clear" w:color="000000" w:fill="FFFF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66</w:t>
            </w:r>
          </w:p>
        </w:tc>
        <w:tc>
          <w:tcPr>
            <w:tcW w:w="1600" w:type="dxa"/>
            <w:tcBorders>
              <w:top w:val="nil"/>
              <w:left w:val="nil"/>
              <w:bottom w:val="single" w:sz="4" w:space="0" w:color="000000"/>
              <w:right w:val="single" w:sz="4" w:space="0" w:color="000000"/>
            </w:tcBorders>
            <w:shd w:val="clear" w:color="000000" w:fill="E4F5E4"/>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86.0%</w:t>
            </w:r>
          </w:p>
        </w:tc>
        <w:tc>
          <w:tcPr>
            <w:tcW w:w="1740" w:type="dxa"/>
            <w:tcBorders>
              <w:top w:val="nil"/>
              <w:left w:val="nil"/>
              <w:bottom w:val="single" w:sz="4" w:space="0" w:color="000000"/>
              <w:right w:val="single" w:sz="4" w:space="0" w:color="000000"/>
            </w:tcBorders>
            <w:shd w:val="clear" w:color="000000" w:fill="E1E6FF"/>
            <w:noWrap/>
            <w:hideMark/>
          </w:tcPr>
          <w:p w:rsidR="00B10EE6" w:rsidRPr="00B10EE6" w:rsidRDefault="00B10EE6" w:rsidP="00B10EE6">
            <w:pPr>
              <w:spacing w:after="0" w:line="240" w:lineRule="auto"/>
              <w:jc w:val="right"/>
              <w:rPr>
                <w:rFonts w:ascii="Arial" w:eastAsia="Times New Roman" w:hAnsi="Arial" w:cs="Arial"/>
                <w:color w:val="000000"/>
              </w:rPr>
            </w:pPr>
            <w:r w:rsidRPr="00B10EE6">
              <w:rPr>
                <w:rFonts w:ascii="Arial" w:eastAsia="Times New Roman" w:hAnsi="Arial" w:cs="Arial"/>
                <w:color w:val="000000"/>
              </w:rPr>
              <w:t>69.1%</w:t>
            </w:r>
          </w:p>
        </w:tc>
      </w:tr>
      <w:tr w:rsidR="00B10EE6" w:rsidRPr="00B10EE6" w:rsidTr="00B10EE6">
        <w:trPr>
          <w:trHeight w:val="280"/>
        </w:trPr>
        <w:tc>
          <w:tcPr>
            <w:tcW w:w="1255" w:type="dxa"/>
            <w:tcBorders>
              <w:top w:val="nil"/>
              <w:left w:val="single" w:sz="4" w:space="0" w:color="000000"/>
              <w:bottom w:val="single" w:sz="4" w:space="0" w:color="000000"/>
              <w:right w:val="single" w:sz="4" w:space="0" w:color="000000"/>
            </w:tcBorders>
            <w:shd w:val="clear" w:color="000000" w:fill="D2D2D2"/>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 </w:t>
            </w:r>
          </w:p>
        </w:tc>
        <w:tc>
          <w:tcPr>
            <w:tcW w:w="1465"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rPr>
                <w:rFonts w:ascii="Arial" w:eastAsia="Times New Roman" w:hAnsi="Arial" w:cs="Arial"/>
                <w:b/>
                <w:bCs/>
                <w:color w:val="000000"/>
              </w:rPr>
            </w:pPr>
            <w:r w:rsidRPr="00B10EE6">
              <w:rPr>
                <w:rFonts w:ascii="Arial" w:eastAsia="Times New Roman" w:hAnsi="Arial" w:cs="Arial"/>
                <w:b/>
                <w:bCs/>
                <w:color w:val="000000"/>
              </w:rPr>
              <w:t>Sum</w:t>
            </w:r>
          </w:p>
        </w:tc>
        <w:tc>
          <w:tcPr>
            <w:tcW w:w="146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639</w:t>
            </w:r>
          </w:p>
        </w:tc>
        <w:tc>
          <w:tcPr>
            <w:tcW w:w="160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82.9%</w:t>
            </w:r>
          </w:p>
        </w:tc>
        <w:tc>
          <w:tcPr>
            <w:tcW w:w="1740" w:type="dxa"/>
            <w:tcBorders>
              <w:top w:val="nil"/>
              <w:left w:val="nil"/>
              <w:bottom w:val="single" w:sz="4" w:space="0" w:color="000000"/>
              <w:right w:val="single" w:sz="4" w:space="0" w:color="000000"/>
            </w:tcBorders>
            <w:shd w:val="clear" w:color="000000" w:fill="D2D2D2"/>
            <w:noWrap/>
            <w:hideMark/>
          </w:tcPr>
          <w:p w:rsidR="00B10EE6" w:rsidRPr="00B10EE6" w:rsidRDefault="00B10EE6" w:rsidP="00B10EE6">
            <w:pPr>
              <w:spacing w:after="0" w:line="240" w:lineRule="auto"/>
              <w:jc w:val="right"/>
              <w:rPr>
                <w:rFonts w:ascii="Arial" w:eastAsia="Times New Roman" w:hAnsi="Arial" w:cs="Arial"/>
                <w:b/>
                <w:bCs/>
                <w:color w:val="000000"/>
              </w:rPr>
            </w:pPr>
            <w:r w:rsidRPr="00B10EE6">
              <w:rPr>
                <w:rFonts w:ascii="Arial" w:eastAsia="Times New Roman" w:hAnsi="Arial" w:cs="Arial"/>
                <w:b/>
                <w:bCs/>
                <w:color w:val="000000"/>
              </w:rPr>
              <w:t>59.1%</w:t>
            </w:r>
          </w:p>
        </w:tc>
      </w:tr>
    </w:tbl>
    <w:p w:rsidR="00054FFA" w:rsidRDefault="00054FFA" w:rsidP="00054FFA">
      <w:pPr>
        <w:spacing w:after="0" w:line="240" w:lineRule="auto"/>
        <w:rPr>
          <w:rFonts w:cstheme="minorHAnsi"/>
        </w:rPr>
      </w:pPr>
    </w:p>
    <w:p w:rsidR="00054FFA" w:rsidRPr="00054FFA" w:rsidRDefault="00054FFA" w:rsidP="00054FFA">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B10EE6" w:rsidRPr="00B10EE6" w:rsidRDefault="00B10EE6" w:rsidP="00B10EE6">
      <w:pPr>
        <w:spacing w:after="0" w:line="240" w:lineRule="auto"/>
        <w:rPr>
          <w:rFonts w:cstheme="minorHAnsi"/>
        </w:rPr>
      </w:pPr>
    </w:p>
    <w:p w:rsidR="00E04250" w:rsidRDefault="00B10EE6" w:rsidP="00E04250">
      <w:pPr>
        <w:spacing w:after="0" w:line="240" w:lineRule="auto"/>
        <w:rPr>
          <w:rFonts w:cstheme="minorHAnsi"/>
        </w:rPr>
      </w:pPr>
      <w:r>
        <w:rPr>
          <w:rFonts w:cstheme="minorHAnsi"/>
        </w:rPr>
        <w:t>Using the latest Achieve the Dream data, disproportionate impact continues for African American and Native American students in mathematics. Some improvements have been seen for the Hispanic population, except male students, who lag behind in successfully completing developmental mathematics courses. The mathematics department is working with the Equity Committee to find new solutions to this continuing issue.</w:t>
      </w:r>
      <w:r>
        <w:rPr>
          <w:rFonts w:cstheme="minorHAnsi"/>
        </w:rPr>
        <w:t xml:space="preserve"> Two new math fulltime tutors were hired to try to address Equity issues with developmental mathematics courses.</w:t>
      </w:r>
    </w:p>
    <w:p w:rsidR="00B10EE6" w:rsidRDefault="00B10EE6" w:rsidP="00E04250">
      <w:pPr>
        <w:spacing w:after="0" w:line="240" w:lineRule="auto"/>
        <w:rPr>
          <w:rFonts w:cstheme="minorHAnsi"/>
        </w:rPr>
      </w:pPr>
    </w:p>
    <w:p w:rsidR="00B10EE6" w:rsidRDefault="00B10EE6" w:rsidP="00E04250">
      <w:pPr>
        <w:spacing w:after="0" w:line="240" w:lineRule="auto"/>
        <w:rPr>
          <w:rFonts w:cstheme="minorHAnsi"/>
        </w:rPr>
      </w:pPr>
      <w:r>
        <w:rPr>
          <w:rFonts w:cstheme="minorHAnsi"/>
        </w:rPr>
        <w:t>The office is managing new grants to support academic services for Basic Skills, including a Title V grant for $2.6 Million and a Basic Skills Transformation grant for $1.5 Million. These have been used to expand Summer Bridge and create new Extended Classrooms with additional learning support services for ACDV B72, MATH B60, and ENGL B53.</w:t>
      </w:r>
    </w:p>
    <w:p w:rsidR="00B10EE6" w:rsidRDefault="00B10EE6"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B10EE6" w:rsidRDefault="00B10EE6" w:rsidP="00B10EE6">
      <w:pPr>
        <w:pStyle w:val="ListParagraph"/>
        <w:spacing w:after="0" w:line="240" w:lineRule="auto"/>
        <w:ind w:left="360"/>
        <w:rPr>
          <w:rFonts w:cstheme="minorHAnsi"/>
        </w:rPr>
      </w:pPr>
      <w:r>
        <w:rPr>
          <w:rFonts w:cstheme="minorHAnsi"/>
        </w:rPr>
        <w:t>The faculty and department chairs in Mathematics, Physical Sciences, and Biology have begun to meet to develop ways to improve STEM student success and completion through development of curriculum maps.</w:t>
      </w:r>
    </w:p>
    <w:p w:rsidR="00B10EE6" w:rsidRDefault="00B10EE6" w:rsidP="00B10EE6">
      <w:pPr>
        <w:pStyle w:val="ListParagraph"/>
        <w:spacing w:after="0" w:line="240" w:lineRule="auto"/>
        <w:ind w:left="360"/>
        <w:rPr>
          <w:rFonts w:cstheme="minorHAnsi"/>
        </w:rPr>
      </w:pPr>
      <w:r>
        <w:rPr>
          <w:rFonts w:cstheme="minorHAnsi"/>
        </w:rPr>
        <w:t>The department chairs for Mathematics and Academic Development have begun to coordinate their course content to be more effective for students starting in the lowest levels of math courses at BC.</w:t>
      </w:r>
    </w:p>
    <w:p w:rsidR="00B10EE6" w:rsidRPr="00B10EE6" w:rsidRDefault="00B10EE6" w:rsidP="00B10EE6">
      <w:pPr>
        <w:pStyle w:val="ListParagraph"/>
        <w:spacing w:after="0" w:line="240" w:lineRule="auto"/>
        <w:ind w:left="360"/>
        <w:rPr>
          <w:rFonts w:cstheme="minorHAnsi"/>
        </w:rPr>
      </w:pPr>
      <w:r>
        <w:rPr>
          <w:rFonts w:cstheme="minorHAnsi"/>
        </w:rPr>
        <w:t xml:space="preserve">A transfer agreement for </w:t>
      </w:r>
      <w:r w:rsidR="008F2B9E">
        <w:rPr>
          <w:rFonts w:cstheme="minorHAnsi"/>
        </w:rPr>
        <w:t xml:space="preserve">Biology students to the California Health Sciences University’s Pharmacy Program was finalized. </w:t>
      </w:r>
    </w:p>
    <w:p w:rsidR="00B10EE6" w:rsidRPr="00E04250" w:rsidRDefault="00B10EE6" w:rsidP="00B10EE6">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B10EE6" w:rsidRDefault="00B10EE6" w:rsidP="00B10EE6">
      <w:pPr>
        <w:spacing w:after="0" w:line="240" w:lineRule="auto"/>
        <w:ind w:left="360"/>
        <w:rPr>
          <w:rFonts w:cstheme="minorHAnsi"/>
        </w:rPr>
      </w:pPr>
      <w:r>
        <w:rPr>
          <w:rFonts w:cstheme="minorHAnsi"/>
        </w:rPr>
        <w:t>The College continues to struggle to have several science courses not transfer to CSU Bakersfield.</w:t>
      </w:r>
    </w:p>
    <w:p w:rsidR="00B10EE6" w:rsidRPr="00B10EE6" w:rsidRDefault="00B10EE6" w:rsidP="00B10EE6">
      <w:pPr>
        <w:spacing w:after="0" w:line="240" w:lineRule="auto"/>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8F2B9E" w:rsidRDefault="008F2B9E" w:rsidP="008F2B9E">
      <w:pPr>
        <w:spacing w:after="0" w:line="240" w:lineRule="auto"/>
        <w:ind w:left="720"/>
        <w:rPr>
          <w:rFonts w:cstheme="minorHAnsi"/>
        </w:rPr>
      </w:pPr>
      <w:r>
        <w:rPr>
          <w:rFonts w:cstheme="minorHAnsi"/>
        </w:rPr>
        <w:t>Faculty positions are prioritized as the following…</w:t>
      </w:r>
    </w:p>
    <w:p w:rsidR="008F2B9E" w:rsidRDefault="008F2B9E" w:rsidP="008F2B9E">
      <w:pPr>
        <w:pStyle w:val="ListParagraph"/>
        <w:numPr>
          <w:ilvl w:val="0"/>
          <w:numId w:val="24"/>
        </w:numPr>
        <w:spacing w:after="0" w:line="240" w:lineRule="auto"/>
        <w:rPr>
          <w:rFonts w:cstheme="minorHAnsi"/>
        </w:rPr>
      </w:pPr>
      <w:r>
        <w:rPr>
          <w:rFonts w:cstheme="minorHAnsi"/>
        </w:rPr>
        <w:t>Mathematics at Delano and supporting Wonderful Academy</w:t>
      </w:r>
    </w:p>
    <w:p w:rsidR="008F2B9E" w:rsidRDefault="008F2B9E" w:rsidP="008F2B9E">
      <w:pPr>
        <w:pStyle w:val="ListParagraph"/>
        <w:numPr>
          <w:ilvl w:val="0"/>
          <w:numId w:val="24"/>
        </w:numPr>
        <w:spacing w:after="0" w:line="240" w:lineRule="auto"/>
        <w:rPr>
          <w:rFonts w:cstheme="minorHAnsi"/>
        </w:rPr>
      </w:pPr>
      <w:r>
        <w:rPr>
          <w:rFonts w:cstheme="minorHAnsi"/>
        </w:rPr>
        <w:t>Chemistry at Delano and supporting Wonderful Academy</w:t>
      </w:r>
    </w:p>
    <w:p w:rsidR="008F2B9E" w:rsidRDefault="008F2B9E" w:rsidP="008F2B9E">
      <w:pPr>
        <w:pStyle w:val="ListParagraph"/>
        <w:numPr>
          <w:ilvl w:val="0"/>
          <w:numId w:val="24"/>
        </w:numPr>
        <w:spacing w:after="0" w:line="240" w:lineRule="auto"/>
        <w:rPr>
          <w:rFonts w:cstheme="minorHAnsi"/>
        </w:rPr>
      </w:pPr>
      <w:r>
        <w:rPr>
          <w:rFonts w:cstheme="minorHAnsi"/>
        </w:rPr>
        <w:t>Physics at the Panorama Campus to support the BS Industrial Automation program</w:t>
      </w:r>
    </w:p>
    <w:p w:rsidR="008F2B9E" w:rsidRDefault="008F2B9E" w:rsidP="008F2B9E">
      <w:pPr>
        <w:pStyle w:val="ListParagraph"/>
        <w:numPr>
          <w:ilvl w:val="0"/>
          <w:numId w:val="24"/>
        </w:numPr>
        <w:spacing w:after="0" w:line="240" w:lineRule="auto"/>
        <w:rPr>
          <w:rFonts w:cstheme="minorHAnsi"/>
        </w:rPr>
      </w:pPr>
      <w:r>
        <w:rPr>
          <w:rFonts w:cstheme="minorHAnsi"/>
        </w:rPr>
        <w:t>Geology at the Panorama Campus</w:t>
      </w:r>
    </w:p>
    <w:p w:rsidR="008F2B9E" w:rsidRDefault="008F2B9E" w:rsidP="008F2B9E">
      <w:pPr>
        <w:pStyle w:val="ListParagraph"/>
        <w:numPr>
          <w:ilvl w:val="0"/>
          <w:numId w:val="24"/>
        </w:numPr>
        <w:spacing w:after="0" w:line="240" w:lineRule="auto"/>
        <w:rPr>
          <w:rFonts w:cstheme="minorHAnsi"/>
        </w:rPr>
      </w:pPr>
      <w:r>
        <w:rPr>
          <w:rFonts w:cstheme="minorHAnsi"/>
        </w:rPr>
        <w:t>Biology at the Panorama Campus</w:t>
      </w:r>
    </w:p>
    <w:p w:rsidR="008F2B9E" w:rsidRPr="008F2B9E" w:rsidRDefault="008F2B9E" w:rsidP="008F2B9E">
      <w:pPr>
        <w:pStyle w:val="ListParagraph"/>
        <w:numPr>
          <w:ilvl w:val="0"/>
          <w:numId w:val="24"/>
        </w:numPr>
        <w:spacing w:after="0" w:line="240" w:lineRule="auto"/>
        <w:rPr>
          <w:rFonts w:cstheme="minorHAnsi"/>
        </w:rPr>
      </w:pPr>
      <w:r>
        <w:rPr>
          <w:rFonts w:cstheme="minorHAnsi"/>
        </w:rPr>
        <w:t>Mathematics at the Panorama Campus</w:t>
      </w:r>
    </w:p>
    <w:p w:rsidR="008F2B9E" w:rsidRPr="008F2B9E" w:rsidRDefault="008F2B9E" w:rsidP="008F2B9E">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lastRenderedPageBreak/>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F31BF1" w:rsidRDefault="00F31BF1" w:rsidP="00F31BF1">
      <w:pPr>
        <w:spacing w:after="0" w:line="240" w:lineRule="auto"/>
        <w:ind w:left="1080"/>
      </w:pPr>
      <w:r>
        <w:t xml:space="preserve">The office has developed several professional development events. Those organized by faculty are listed in the program reviews from the departments. Additionally, the office organized </w:t>
      </w:r>
      <w:r w:rsidR="00A5020D">
        <w:t xml:space="preserve">Data Coaching training, </w:t>
      </w:r>
      <w:r>
        <w:t>Excel training sessions</w:t>
      </w:r>
      <w:r w:rsidR="00A5020D">
        <w:t>,</w:t>
      </w:r>
      <w:r>
        <w:t xml:space="preserve"> and </w:t>
      </w:r>
      <w:r w:rsidR="00A5020D">
        <w:t xml:space="preserve">a customer service training session called “Give </w:t>
      </w:r>
      <w:proofErr w:type="spellStart"/>
      <w:r w:rsidR="00A5020D">
        <w:t>Em</w:t>
      </w:r>
      <w:proofErr w:type="spellEnd"/>
      <w:r w:rsidR="00A5020D">
        <w:t xml:space="preserve"> the Pickle”.</w:t>
      </w:r>
    </w:p>
    <w:p w:rsidR="00F31BF1" w:rsidRPr="00E04250" w:rsidRDefault="00F31BF1" w:rsidP="00F31BF1">
      <w:pPr>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A5020D" w:rsidRDefault="00A5020D" w:rsidP="00A5020D">
      <w:pPr>
        <w:spacing w:after="0" w:line="240" w:lineRule="auto"/>
        <w:ind w:left="1080"/>
      </w:pPr>
      <w:r>
        <w:t>Additional Excel training modules will be offered throughout the year.</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A5020D" w:rsidRDefault="00A5020D" w:rsidP="00A5020D">
      <w:pPr>
        <w:spacing w:after="0" w:line="240" w:lineRule="auto"/>
        <w:ind w:left="1440"/>
        <w:rPr>
          <w:rFonts w:cstheme="minorHAnsi"/>
        </w:rPr>
      </w:pPr>
      <w:r>
        <w:rPr>
          <w:rFonts w:cstheme="minorHAnsi"/>
        </w:rPr>
        <w:t>Renovation of to create the new STEM Success Center allows for students to study in a comfortable environment as early as 7:00 am. Before, they were sitting on the floors of hallways in the science and math buildings.</w:t>
      </w:r>
    </w:p>
    <w:p w:rsidR="00A5020D" w:rsidRPr="00A5020D" w:rsidRDefault="00A5020D" w:rsidP="00A5020D">
      <w:pPr>
        <w:spacing w:after="0" w:line="240" w:lineRule="auto"/>
        <w:ind w:left="1440"/>
        <w:rPr>
          <w:rFonts w:cstheme="minorHAnsi"/>
        </w:rPr>
      </w:pP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A5020D"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A5020D" w:rsidRPr="00A5020D" w:rsidRDefault="00A5020D" w:rsidP="00A5020D">
      <w:pPr>
        <w:pStyle w:val="ListParagraph"/>
        <w:spacing w:after="0" w:line="240" w:lineRule="auto"/>
        <w:rPr>
          <w:rFonts w:cstheme="minorHAnsi"/>
        </w:rPr>
      </w:pPr>
      <w:r w:rsidRPr="00A5020D">
        <w:rPr>
          <w:rFonts w:cstheme="minorHAnsi"/>
        </w:rPr>
        <w:t>Updating of the technology in CSS 117 and CSS 3 have allowed for students to be able to view course content easier.</w:t>
      </w:r>
    </w:p>
    <w:p w:rsidR="00A5020D" w:rsidRPr="00A5020D" w:rsidRDefault="00A5020D" w:rsidP="00A5020D">
      <w:pPr>
        <w:spacing w:after="0" w:line="240" w:lineRule="auto"/>
        <w:ind w:left="72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A5020D" w:rsidRPr="00A5020D" w:rsidRDefault="00A5020D" w:rsidP="00A5020D">
      <w:pPr>
        <w:spacing w:after="0" w:line="240" w:lineRule="auto"/>
        <w:ind w:left="360" w:firstLine="360"/>
        <w:rPr>
          <w:rFonts w:cstheme="minorHAnsi"/>
        </w:rPr>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A5020D" w:rsidRPr="00E04250" w:rsidRDefault="00A5020D" w:rsidP="00102476">
      <w:pPr>
        <w:spacing w:after="0" w:line="240" w:lineRule="auto"/>
        <w:rPr>
          <w:rFonts w:cstheme="minorHAnsi"/>
        </w:rPr>
      </w:pPr>
      <w:r>
        <w:rPr>
          <w:rFonts w:cstheme="minorHAnsi"/>
        </w:rPr>
        <w:tab/>
      </w:r>
      <w:r>
        <w:rPr>
          <w:rFonts w:cstheme="minorHAnsi"/>
        </w:rPr>
        <w:tab/>
        <w:t>Budgets have been proposed to consider expansion of courses to Delano towards offering complete programs at that campus.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bookmarkStart w:id="4" w:name="_GoBack"/>
      <w:bookmarkEnd w:id="4"/>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A5020D" w:rsidRPr="00A5020D">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45584D" w:rsidRDefault="00A5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86C39"/>
    <w:multiLevelType w:val="hybridMultilevel"/>
    <w:tmpl w:val="99469954"/>
    <w:lvl w:ilvl="0" w:tplc="7B18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FD4773"/>
    <w:multiLevelType w:val="hybridMultilevel"/>
    <w:tmpl w:val="7C98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3"/>
  </w:num>
  <w:num w:numId="5">
    <w:abstractNumId w:val="5"/>
  </w:num>
  <w:num w:numId="6">
    <w:abstractNumId w:val="18"/>
  </w:num>
  <w:num w:numId="7">
    <w:abstractNumId w:val="11"/>
  </w:num>
  <w:num w:numId="8">
    <w:abstractNumId w:val="14"/>
  </w:num>
  <w:num w:numId="9">
    <w:abstractNumId w:val="19"/>
  </w:num>
  <w:num w:numId="10">
    <w:abstractNumId w:val="13"/>
  </w:num>
  <w:num w:numId="11">
    <w:abstractNumId w:val="6"/>
  </w:num>
  <w:num w:numId="12">
    <w:abstractNumId w:val="21"/>
  </w:num>
  <w:num w:numId="13">
    <w:abstractNumId w:val="20"/>
  </w:num>
  <w:num w:numId="14">
    <w:abstractNumId w:val="0"/>
  </w:num>
  <w:num w:numId="15">
    <w:abstractNumId w:val="3"/>
  </w:num>
  <w:num w:numId="16">
    <w:abstractNumId w:val="12"/>
  </w:num>
  <w:num w:numId="17">
    <w:abstractNumId w:val="10"/>
  </w:num>
  <w:num w:numId="18">
    <w:abstractNumId w:val="4"/>
  </w:num>
  <w:num w:numId="19">
    <w:abstractNumId w:val="22"/>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54FFA"/>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B5398"/>
    <w:rsid w:val="007A3CDB"/>
    <w:rsid w:val="0087586F"/>
    <w:rsid w:val="008B60D9"/>
    <w:rsid w:val="008F2B9E"/>
    <w:rsid w:val="00961586"/>
    <w:rsid w:val="00966171"/>
    <w:rsid w:val="00996020"/>
    <w:rsid w:val="009A47DB"/>
    <w:rsid w:val="009D6D50"/>
    <w:rsid w:val="00A07CDD"/>
    <w:rsid w:val="00A5020D"/>
    <w:rsid w:val="00A6058F"/>
    <w:rsid w:val="00A70D85"/>
    <w:rsid w:val="00AE05CC"/>
    <w:rsid w:val="00AE06EB"/>
    <w:rsid w:val="00B10EE6"/>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91D13"/>
    <w:rsid w:val="00DA0A51"/>
    <w:rsid w:val="00DA1872"/>
    <w:rsid w:val="00E04250"/>
    <w:rsid w:val="00E96079"/>
    <w:rsid w:val="00EC1457"/>
    <w:rsid w:val="00F31BF1"/>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486556295">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3A47715-2530-4158-ACAB-11C674C36F62}"/>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DDD7E123-2744-4A19-B998-40EDFD48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Stephen Waller</cp:lastModifiedBy>
  <cp:revision>4</cp:revision>
  <cp:lastPrinted>2014-05-01T20:00:00Z</cp:lastPrinted>
  <dcterms:created xsi:type="dcterms:W3CDTF">2016-10-17T22:59:00Z</dcterms:created>
  <dcterms:modified xsi:type="dcterms:W3CDTF">2016-10-17T23:54:00Z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