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E7DF5" w14:textId="77777777" w:rsidR="006340FF" w:rsidRPr="00E04250" w:rsidRDefault="006340FF" w:rsidP="00E04250">
      <w:pPr>
        <w:spacing w:after="0" w:line="240" w:lineRule="auto"/>
        <w:jc w:val="center"/>
        <w:rPr>
          <w:b/>
          <w:sz w:val="32"/>
          <w:szCs w:val="32"/>
        </w:rPr>
      </w:pPr>
      <w:r w:rsidRPr="00E04250">
        <w:rPr>
          <w:b/>
          <w:sz w:val="32"/>
          <w:szCs w:val="32"/>
        </w:rPr>
        <w:t>Bakersfield College</w:t>
      </w:r>
    </w:p>
    <w:p w14:paraId="0C7E7DF6" w14:textId="77777777" w:rsidR="006340FF" w:rsidRPr="00E04250" w:rsidRDefault="006340FF" w:rsidP="00E04250">
      <w:pPr>
        <w:spacing w:after="0" w:line="240" w:lineRule="auto"/>
        <w:jc w:val="center"/>
        <w:rPr>
          <w:b/>
          <w:sz w:val="32"/>
          <w:szCs w:val="32"/>
        </w:rPr>
      </w:pPr>
      <w:r w:rsidRPr="00E04250">
        <w:rPr>
          <w:b/>
          <w:sz w:val="32"/>
          <w:szCs w:val="32"/>
        </w:rPr>
        <w:t>Program Review – Annual Update</w:t>
      </w:r>
      <w:r w:rsidR="00396AF3">
        <w:rPr>
          <w:b/>
          <w:sz w:val="32"/>
          <w:szCs w:val="32"/>
        </w:rPr>
        <w:t xml:space="preserve"> </w:t>
      </w:r>
    </w:p>
    <w:p w14:paraId="0C7E7DF7" w14:textId="77777777" w:rsidR="000C57A1" w:rsidRDefault="000C57A1" w:rsidP="00E04250">
      <w:pPr>
        <w:spacing w:after="0" w:line="240" w:lineRule="auto"/>
        <w:rPr>
          <w:b/>
          <w:u w:val="single"/>
        </w:rPr>
      </w:pPr>
    </w:p>
    <w:p w14:paraId="0C7E7DF8" w14:textId="77777777" w:rsidR="006340FF" w:rsidRPr="00E04250" w:rsidRDefault="006340FF" w:rsidP="00E04250">
      <w:pPr>
        <w:spacing w:after="0" w:line="240" w:lineRule="auto"/>
        <w:rPr>
          <w:b/>
          <w:u w:val="single"/>
        </w:rPr>
      </w:pPr>
      <w:r w:rsidRPr="00E04250">
        <w:rPr>
          <w:b/>
          <w:u w:val="single"/>
        </w:rPr>
        <w:t>I. Program Information:</w:t>
      </w:r>
    </w:p>
    <w:p w14:paraId="0C7E7DF9" w14:textId="77777777" w:rsidR="005620FD" w:rsidRDefault="006340FF" w:rsidP="00E04250">
      <w:pPr>
        <w:spacing w:after="0" w:line="240" w:lineRule="auto"/>
      </w:pPr>
      <w:r w:rsidRPr="00E04250">
        <w:t>Program Name:</w:t>
      </w:r>
      <w:r w:rsidRPr="00E04250">
        <w:tab/>
      </w:r>
      <w:r w:rsidRPr="00E04250">
        <w:tab/>
      </w:r>
    </w:p>
    <w:p w14:paraId="0C7E7DFA" w14:textId="77777777" w:rsidR="006340FF" w:rsidRPr="00E04250" w:rsidRDefault="006340FF" w:rsidP="00E04250">
      <w:pPr>
        <w:spacing w:after="0" w:line="240" w:lineRule="auto"/>
      </w:pPr>
      <w:r w:rsidRPr="00E04250">
        <w:tab/>
      </w:r>
    </w:p>
    <w:p w14:paraId="0C7E7DFB" w14:textId="56A83E12" w:rsidR="006340FF" w:rsidRDefault="006340FF" w:rsidP="00E04250">
      <w:pPr>
        <w:spacing w:after="0" w:line="240" w:lineRule="auto"/>
        <w:rPr>
          <w:rFonts w:cstheme="minorHAnsi"/>
        </w:rPr>
      </w:pPr>
      <w:r w:rsidRPr="00E04250">
        <w:t>Program Type:</w:t>
      </w:r>
      <w:r w:rsidRPr="00E04250">
        <w:tab/>
      </w:r>
      <w:r w:rsidRPr="00E04250">
        <w:tab/>
      </w:r>
      <w:r w:rsidR="00483E72">
        <w:rPr>
          <w:rFonts w:cstheme="minorHAnsi"/>
        </w:rPr>
        <w:fldChar w:fldCharType="begin">
          <w:ffData>
            <w:name w:val="Check8"/>
            <w:enabled/>
            <w:calcOnExit w:val="0"/>
            <w:checkBox>
              <w:sizeAuto/>
              <w:default w:val="1"/>
            </w:checkBox>
          </w:ffData>
        </w:fldChar>
      </w:r>
      <w:bookmarkStart w:id="0" w:name="Check8"/>
      <w:r w:rsidR="00483E72">
        <w:rPr>
          <w:rFonts w:cstheme="minorHAnsi"/>
        </w:rPr>
        <w:instrText xml:space="preserve"> FORMCHECKBOX </w:instrText>
      </w:r>
      <w:r w:rsidR="00483E72">
        <w:rPr>
          <w:rFonts w:cstheme="minorHAnsi"/>
        </w:rPr>
      </w:r>
      <w:r w:rsidR="00483E72">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2D3173">
        <w:rPr>
          <w:rFonts w:cstheme="minorHAnsi"/>
        </w:rPr>
      </w:r>
      <w:r w:rsidR="002D3173">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2D3173">
        <w:rPr>
          <w:rFonts w:cstheme="minorHAnsi"/>
        </w:rPr>
      </w:r>
      <w:r w:rsidR="002D3173">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14:paraId="0C7E7DFC" w14:textId="77777777" w:rsidR="00E04250" w:rsidRPr="00E04250" w:rsidRDefault="00E04250" w:rsidP="00E04250">
      <w:pPr>
        <w:spacing w:after="0" w:line="240" w:lineRule="auto"/>
      </w:pPr>
    </w:p>
    <w:p w14:paraId="0C7E7DFD" w14:textId="77777777"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14:paraId="0C7E7DFE" w14:textId="77777777" w:rsidR="00E04250" w:rsidRDefault="00E04250" w:rsidP="00E04250">
      <w:pPr>
        <w:spacing w:after="0" w:line="240" w:lineRule="auto"/>
      </w:pPr>
    </w:p>
    <w:p w14:paraId="0C7E7DFF" w14:textId="77777777"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14:paraId="699EBF80" w14:textId="78B8165B" w:rsidR="00483E72" w:rsidRDefault="00483E72" w:rsidP="00483E72">
      <w:pPr>
        <w:autoSpaceDE w:val="0"/>
        <w:autoSpaceDN w:val="0"/>
        <w:adjustRightInd w:val="0"/>
        <w:spacing w:after="0" w:line="240" w:lineRule="auto"/>
      </w:pPr>
      <w:r>
        <w:rPr>
          <w:rFonts w:eastAsiaTheme="minorHAnsi" w:cs="Calibri"/>
        </w:rPr>
        <w:t>The Woodworking Technology Program is composed of transfer, CTE and basic to advanced skills enhancement.  Through appropriate coursework, the Woodworking Program will see that those students looking to transfer to a four‐year institution will have the requisite skills in order to successfully matriculate. For those students who are seeking CTE job skills in related fields of endeavor, the Woodworking Program will endeavor to not only provide the student with an opportunity to acquire said skills vis‐à‐vis program SLO’s, but will also direct them to opportunities for both part and full time employment. The Woodworking Program will provide the student with opportunities to enhance their basic skill levels vis‐à‐vis an instructional process that concentrates upon a common core while focusing on course content. Students will also be encouraged to participate in campus programs, seminars and workshops that will provide them with the opportunity to enhance any deficit areas within their skill sets.</w:t>
      </w:r>
    </w:p>
    <w:p w14:paraId="0C7E7E00" w14:textId="77777777" w:rsidR="005620FD" w:rsidRPr="00E04250" w:rsidRDefault="005620FD" w:rsidP="00E04250">
      <w:pPr>
        <w:spacing w:after="0" w:line="240" w:lineRule="auto"/>
      </w:pPr>
    </w:p>
    <w:p w14:paraId="0C7E7E01" w14:textId="77777777" w:rsidR="006A796C" w:rsidRPr="00E04250" w:rsidRDefault="006A796C" w:rsidP="00E04250">
      <w:pPr>
        <w:spacing w:after="0" w:line="240" w:lineRule="auto"/>
      </w:pPr>
      <w:r w:rsidRPr="00E04250">
        <w:t>Program Mission Statement:</w:t>
      </w:r>
    </w:p>
    <w:p w14:paraId="0C7E7E02" w14:textId="51C2496F" w:rsidR="00E04250" w:rsidRDefault="00483E72" w:rsidP="00483E72">
      <w:pPr>
        <w:autoSpaceDE w:val="0"/>
        <w:autoSpaceDN w:val="0"/>
        <w:adjustRightInd w:val="0"/>
        <w:spacing w:after="0" w:line="240" w:lineRule="auto"/>
        <w:rPr>
          <w:rFonts w:eastAsiaTheme="minorHAnsi" w:cs="Calibri"/>
        </w:rPr>
      </w:pPr>
      <w:r>
        <w:rPr>
          <w:rFonts w:eastAsiaTheme="minorHAnsi" w:cs="Calibri"/>
        </w:rPr>
        <w:t xml:space="preserve">The program mission statement for Woodworking Technology is to continue being </w:t>
      </w:r>
      <w:r>
        <w:rPr>
          <w:rFonts w:eastAsiaTheme="minorHAnsi" w:cs="Calibri"/>
          <w:sz w:val="23"/>
          <w:szCs w:val="23"/>
        </w:rPr>
        <w:t xml:space="preserve">an exemplary model of student success by developing and implementing excellent learning opportunities in basic and advanced skills for career/technical education for our diverse community so that our students can thrive in a rapidly changing world. </w:t>
      </w:r>
      <w:r>
        <w:rPr>
          <w:rFonts w:eastAsiaTheme="minorHAnsi" w:cs="Calibri"/>
        </w:rPr>
        <w:t>The Woodworking Technology Program faculty strives to offer effective, up to date and student centered instruction, being sensitive to the diversity of our students, their educational needs, and their career goals. The program provides relevant course and lab work geared toward students seeking careers in EIT related fields, also meeting the needs of students seeking training for career advancement or skills updating. The program utilizes a multi‐dimensional common core approach in preparing our students not only for their specific career goals, but also provide activities that assist them with meeting their personal, academic, and intellectual goals. The professor of the Woodworking Technology Program actively articulates with local industry and continues to update program/facilities, making improvements as needed, as well as supports the Bakersfield College Vision, Mission and Core Value Statements, and the BC Strategic Focus Documents in order to provide the most appropriate educational environment for students within the program.</w:t>
      </w:r>
    </w:p>
    <w:p w14:paraId="24259B44" w14:textId="77777777" w:rsidR="00483E72" w:rsidRDefault="00483E72" w:rsidP="00483E72">
      <w:pPr>
        <w:autoSpaceDE w:val="0"/>
        <w:autoSpaceDN w:val="0"/>
        <w:adjustRightInd w:val="0"/>
        <w:spacing w:after="0" w:line="240" w:lineRule="auto"/>
        <w:rPr>
          <w:b/>
          <w:u w:val="single"/>
        </w:rPr>
      </w:pPr>
    </w:p>
    <w:p w14:paraId="0C7E7E03" w14:textId="77777777" w:rsidR="0060746E" w:rsidRPr="00E04250" w:rsidRDefault="0060746E" w:rsidP="00E04250">
      <w:pPr>
        <w:spacing w:after="0" w:line="240" w:lineRule="auto"/>
        <w:rPr>
          <w:b/>
          <w:u w:val="single"/>
        </w:rPr>
      </w:pPr>
      <w:r w:rsidRPr="00E04250">
        <w:rPr>
          <w:b/>
          <w:u w:val="single"/>
        </w:rPr>
        <w:t>II. Progress on Program Goals:</w:t>
      </w:r>
    </w:p>
    <w:p w14:paraId="0C7E7E04" w14:textId="77777777"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14:paraId="0C7E7E05" w14:textId="77777777"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14:paraId="0C7E7E0C" w14:textId="77777777"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C7E7E06" w14:textId="77777777"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lastRenderedPageBreak/>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C7E7E07" w14:textId="77777777"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C7E7E08" w14:textId="77777777"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14:paraId="0C7E7E09" w14:textId="77777777"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C7E7E0A" w14:textId="77777777"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14:paraId="0C7E7E0B" w14:textId="77777777"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14:paraId="0C7E7E17" w14:textId="77777777"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7E7E0D" w14:textId="6CABA45F" w:rsidR="0060746E" w:rsidRPr="002D3173" w:rsidRDefault="002D3173" w:rsidP="002D3173">
            <w:pPr>
              <w:pStyle w:val="ListParagraph"/>
              <w:numPr>
                <w:ilvl w:val="0"/>
                <w:numId w:val="25"/>
              </w:numPr>
              <w:autoSpaceDE w:val="0"/>
              <w:autoSpaceDN w:val="0"/>
              <w:adjustRightInd w:val="0"/>
              <w:spacing w:after="0" w:line="240" w:lineRule="auto"/>
              <w:ind w:left="134" w:hanging="180"/>
              <w:rPr>
                <w:rFonts w:eastAsiaTheme="minorHAnsi" w:cs="Calibri"/>
              </w:rPr>
            </w:pPr>
            <w:r w:rsidRPr="002D3173">
              <w:rPr>
                <w:rFonts w:eastAsiaTheme="minorHAnsi" w:cs="Calibri"/>
              </w:rPr>
              <w:t>Become an exemplary model of student success by developing and implementing a</w:t>
            </w:r>
            <w:r>
              <w:rPr>
                <w:rFonts w:eastAsiaTheme="minorHAnsi" w:cs="Calibri"/>
              </w:rPr>
              <w:t xml:space="preserve"> best practices approach </w:t>
            </w:r>
            <w:r w:rsidRPr="002D3173">
              <w:rPr>
                <w:rFonts w:eastAsiaTheme="minorHAnsi" w:cs="Calibri"/>
              </w:rPr>
              <w:t>to learning.</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0C7E7E0E" w14:textId="18EA07DD" w:rsidR="006A796C" w:rsidRPr="00E04250" w:rsidRDefault="008351A3"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60746E" w:rsidRPr="00E04250">
              <w:rPr>
                <w:sz w:val="20"/>
                <w:szCs w:val="20"/>
              </w:rPr>
              <w:t xml:space="preserve"> 1: Student Learning                             </w:t>
            </w:r>
          </w:p>
          <w:p w14:paraId="0C7E7E0F" w14:textId="77777777" w:rsidR="0060746E" w:rsidRPr="00E04250" w:rsidRDefault="0060746E"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2D3173">
              <w:rPr>
                <w:sz w:val="20"/>
                <w:szCs w:val="20"/>
              </w:rPr>
            </w:r>
            <w:r w:rsidR="002D3173">
              <w:rPr>
                <w:sz w:val="20"/>
                <w:szCs w:val="20"/>
              </w:rPr>
              <w:fldChar w:fldCharType="separate"/>
            </w:r>
            <w:r w:rsidRPr="00E04250">
              <w:rPr>
                <w:sz w:val="20"/>
                <w:szCs w:val="20"/>
              </w:rPr>
              <w:fldChar w:fldCharType="end"/>
            </w:r>
            <w:r w:rsidRPr="00E04250">
              <w:rPr>
                <w:sz w:val="20"/>
                <w:szCs w:val="20"/>
              </w:rPr>
              <w:t xml:space="preserve"> 2: Student Progression and Completion              </w:t>
            </w:r>
          </w:p>
          <w:p w14:paraId="0C7E7E10" w14:textId="77777777"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2D3173">
              <w:rPr>
                <w:sz w:val="20"/>
                <w:szCs w:val="20"/>
              </w:rPr>
            </w:r>
            <w:r w:rsidR="002D3173">
              <w:rPr>
                <w:sz w:val="20"/>
                <w:szCs w:val="20"/>
              </w:rPr>
              <w:fldChar w:fldCharType="separate"/>
            </w:r>
            <w:r w:rsidRPr="00E04250">
              <w:rPr>
                <w:sz w:val="20"/>
                <w:szCs w:val="20"/>
              </w:rPr>
              <w:fldChar w:fldCharType="end"/>
            </w:r>
            <w:r w:rsidRPr="00E04250">
              <w:rPr>
                <w:sz w:val="20"/>
                <w:szCs w:val="20"/>
              </w:rPr>
              <w:t xml:space="preserve"> 3: Facilities                          </w:t>
            </w:r>
          </w:p>
          <w:p w14:paraId="0C7E7E11" w14:textId="77777777"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2D3173">
              <w:rPr>
                <w:sz w:val="20"/>
                <w:szCs w:val="20"/>
              </w:rPr>
            </w:r>
            <w:r w:rsidR="002D3173">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14:paraId="0C7E7E12" w14:textId="77777777"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2D3173">
              <w:rPr>
                <w:sz w:val="20"/>
                <w:szCs w:val="20"/>
              </w:rPr>
            </w:r>
            <w:r w:rsidR="002D3173">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14:paraId="0C7E7E13" w14:textId="3C0BAF0A" w:rsidR="0060746E" w:rsidRPr="00E04250" w:rsidRDefault="007034C0" w:rsidP="00E04250">
            <w:pPr>
              <w:pStyle w:val="NoSpacing"/>
              <w:rPr>
                <w:sz w:val="20"/>
                <w:szCs w:val="20"/>
              </w:rPr>
            </w:pPr>
            <w:r>
              <w:rPr>
                <w:sz w:val="20"/>
                <w:szCs w:val="20"/>
              </w:rPr>
              <w:fldChar w:fldCharType="begin">
                <w:ffData>
                  <w:name w:val="Check6"/>
                  <w:enabled/>
                  <w:calcOnExit w:val="0"/>
                  <w:checkBox>
                    <w:sizeAuto/>
                    <w:default w:val="1"/>
                  </w:checkBox>
                </w:ffData>
              </w:fldChar>
            </w:r>
            <w:bookmarkStart w:id="2" w:name="Check6"/>
            <w:r>
              <w:rPr>
                <w:sz w:val="20"/>
                <w:szCs w:val="20"/>
              </w:rPr>
              <w:instrText xml:space="preserve"> FORMCHECKBOX </w:instrText>
            </w:r>
            <w:r>
              <w:rPr>
                <w:sz w:val="20"/>
                <w:szCs w:val="20"/>
              </w:rPr>
            </w:r>
            <w:r>
              <w:rPr>
                <w:sz w:val="20"/>
                <w:szCs w:val="20"/>
              </w:rPr>
              <w:fldChar w:fldCharType="end"/>
            </w:r>
            <w:bookmarkEnd w:id="2"/>
            <w:r w:rsidR="0060746E" w:rsidRPr="00E04250">
              <w:rPr>
                <w:sz w:val="20"/>
                <w:szCs w:val="20"/>
              </w:rPr>
              <w:t xml:space="preserve"> Completed:</w:t>
            </w:r>
            <w:r w:rsidR="00E04250">
              <w:rPr>
                <w:sz w:val="20"/>
                <w:szCs w:val="20"/>
              </w:rPr>
              <w:t xml:space="preserve"> </w:t>
            </w:r>
            <w:r w:rsidRPr="008351A3">
              <w:rPr>
                <w:sz w:val="20"/>
                <w:szCs w:val="20"/>
                <w:u w:val="single"/>
              </w:rPr>
              <w:t>Spring 2015</w:t>
            </w:r>
            <w:r w:rsidRPr="00E04250">
              <w:rPr>
                <w:sz w:val="20"/>
                <w:szCs w:val="20"/>
              </w:rPr>
              <w:t xml:space="preserve"> </w:t>
            </w:r>
            <w:r w:rsidR="0060746E" w:rsidRPr="00E04250">
              <w:rPr>
                <w:sz w:val="20"/>
                <w:szCs w:val="20"/>
              </w:rPr>
              <w:t xml:space="preserve"> (Date)  </w:t>
            </w:r>
          </w:p>
          <w:p w14:paraId="0C7E7E14" w14:textId="7BE79AA5" w:rsidR="0060746E" w:rsidRPr="00E04250" w:rsidRDefault="007034C0" w:rsidP="00E04250">
            <w:pPr>
              <w:pStyle w:val="NoSpacing"/>
              <w:rPr>
                <w:sz w:val="20"/>
                <w:szCs w:val="20"/>
              </w:rPr>
            </w:pPr>
            <w:r>
              <w:rPr>
                <w:sz w:val="20"/>
                <w:szCs w:val="20"/>
              </w:rPr>
              <w:fldChar w:fldCharType="begin">
                <w:ffData>
                  <w:name w:val="Check7"/>
                  <w:enabled/>
                  <w:calcOnExit w:val="0"/>
                  <w:checkBox>
                    <w:sizeAuto/>
                    <w:default w:val="0"/>
                  </w:checkBox>
                </w:ffData>
              </w:fldChar>
            </w:r>
            <w:bookmarkStart w:id="3" w:name="Check7"/>
            <w:r>
              <w:rPr>
                <w:sz w:val="20"/>
                <w:szCs w:val="20"/>
              </w:rPr>
              <w:instrText xml:space="preserve"> FORMCHECKBOX </w:instrText>
            </w:r>
            <w:r>
              <w:rPr>
                <w:sz w:val="20"/>
                <w:szCs w:val="20"/>
              </w:rPr>
            </w:r>
            <w:r>
              <w:rPr>
                <w:sz w:val="20"/>
                <w:szCs w:val="20"/>
              </w:rPr>
              <w:fldChar w:fldCharType="end"/>
            </w:r>
            <w:bookmarkEnd w:id="3"/>
            <w:r w:rsidR="0060746E" w:rsidRPr="00E04250">
              <w:rPr>
                <w:sz w:val="20"/>
                <w:szCs w:val="20"/>
              </w:rPr>
              <w:t xml:space="preserve"> Revised:  </w:t>
            </w:r>
            <w:r w:rsidR="00E04250">
              <w:rPr>
                <w:sz w:val="20"/>
                <w:szCs w:val="20"/>
              </w:rPr>
              <w:t xml:space="preserve">    </w:t>
            </w:r>
            <w:r w:rsidR="008351A3">
              <w:rPr>
                <w:sz w:val="20"/>
                <w:szCs w:val="20"/>
              </w:rPr>
              <w:t xml:space="preserve"> </w:t>
            </w:r>
            <w:r w:rsidRPr="00E04250">
              <w:rPr>
                <w:sz w:val="20"/>
                <w:szCs w:val="20"/>
              </w:rPr>
              <w:t>__________ (Date)</w:t>
            </w:r>
          </w:p>
          <w:p w14:paraId="0C7E7E15" w14:textId="77777777" w:rsidR="0060746E" w:rsidRPr="00E04250" w:rsidRDefault="0060746E" w:rsidP="00E0425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2D3173">
              <w:rPr>
                <w:b/>
                <w:sz w:val="20"/>
                <w:szCs w:val="20"/>
                <w:u w:val="single"/>
              </w:rPr>
            </w:r>
            <w:r w:rsidR="002D3173">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sidR="00E04250">
              <w:rPr>
                <w:sz w:val="20"/>
                <w:szCs w:val="20"/>
              </w:rPr>
              <w:t xml:space="preserve">   </w:t>
            </w:r>
            <w:r w:rsidRPr="00E04250">
              <w:rPr>
                <w:sz w:val="20"/>
                <w:szCs w:val="20"/>
              </w:rPr>
              <w:t xml:space="preserve">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14:paraId="0C7E7E16" w14:textId="250972FF" w:rsidR="0060746E" w:rsidRPr="000E03F4" w:rsidRDefault="007034C0" w:rsidP="00E04250">
            <w:pPr>
              <w:spacing w:after="0" w:line="240" w:lineRule="auto"/>
              <w:rPr>
                <w:rFonts w:eastAsiaTheme="minorHAnsi"/>
                <w:color w:val="000000"/>
              </w:rPr>
            </w:pPr>
            <w:r w:rsidRPr="000E03F4">
              <w:rPr>
                <w:rFonts w:eastAsiaTheme="minorHAnsi"/>
                <w:color w:val="000000"/>
              </w:rPr>
              <w:t>The full-time Woodworking faculty member who developed this goal retired in May 2015 without fully completing this goal and left no documentation providing direction as to its progress.</w:t>
            </w:r>
            <w:r w:rsidR="000E03F4">
              <w:rPr>
                <w:rFonts w:eastAsiaTheme="minorHAnsi"/>
                <w:color w:val="000000"/>
              </w:rPr>
              <w:t xml:space="preserve">  Therefore, it is being abandoned.</w:t>
            </w:r>
          </w:p>
        </w:tc>
      </w:tr>
      <w:tr w:rsidR="006A796C" w:rsidRPr="00E04250" w14:paraId="0C7E7E22" w14:textId="77777777"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CC0886" w14:textId="5BED2959" w:rsidR="008351A3" w:rsidRPr="008351A3" w:rsidRDefault="008351A3" w:rsidP="004E54A8">
            <w:pPr>
              <w:pStyle w:val="ListParagraph"/>
              <w:numPr>
                <w:ilvl w:val="0"/>
                <w:numId w:val="25"/>
              </w:numPr>
              <w:autoSpaceDE w:val="0"/>
              <w:autoSpaceDN w:val="0"/>
              <w:adjustRightInd w:val="0"/>
              <w:spacing w:after="0" w:line="240" w:lineRule="auto"/>
              <w:ind w:left="224" w:hanging="224"/>
              <w:rPr>
                <w:rFonts w:eastAsiaTheme="minorHAnsi" w:cs="Calibri"/>
              </w:rPr>
            </w:pPr>
            <w:r>
              <w:rPr>
                <w:rFonts w:eastAsiaTheme="minorHAnsi" w:cs="Calibri"/>
              </w:rPr>
              <w:t xml:space="preserve">Enhance </w:t>
            </w:r>
            <w:r w:rsidRPr="008351A3">
              <w:rPr>
                <w:rFonts w:eastAsiaTheme="minorHAnsi" w:cs="Calibri"/>
              </w:rPr>
              <w:t>collaboration,</w:t>
            </w:r>
          </w:p>
          <w:p w14:paraId="0C7E7E18" w14:textId="199E9601" w:rsidR="006A796C" w:rsidRPr="008351A3" w:rsidRDefault="008351A3" w:rsidP="008351A3">
            <w:pPr>
              <w:autoSpaceDE w:val="0"/>
              <w:autoSpaceDN w:val="0"/>
              <w:adjustRightInd w:val="0"/>
              <w:spacing w:after="0" w:line="240" w:lineRule="auto"/>
              <w:rPr>
                <w:rFonts w:eastAsiaTheme="minorHAnsi" w:cs="Calibri"/>
              </w:rPr>
            </w:pPr>
            <w:r>
              <w:rPr>
                <w:rFonts w:eastAsiaTheme="minorHAnsi" w:cs="Calibri"/>
              </w:rPr>
              <w:t>consultation, and</w:t>
            </w:r>
            <w:r>
              <w:rPr>
                <w:rFonts w:eastAsiaTheme="minorHAnsi" w:cs="Calibri"/>
              </w:rPr>
              <w:t xml:space="preserve"> </w:t>
            </w:r>
            <w:r>
              <w:rPr>
                <w:rFonts w:eastAsiaTheme="minorHAnsi" w:cs="Calibri"/>
              </w:rPr>
              <w:t>communication within</w:t>
            </w:r>
            <w:r>
              <w:rPr>
                <w:rFonts w:eastAsiaTheme="minorHAnsi" w:cs="Calibri"/>
              </w:rPr>
              <w:t xml:space="preserve"> </w:t>
            </w:r>
            <w:r>
              <w:rPr>
                <w:rFonts w:eastAsiaTheme="minorHAnsi" w:cs="Calibri"/>
              </w:rPr>
              <w:t>the college and with</w:t>
            </w:r>
            <w:r>
              <w:rPr>
                <w:rFonts w:eastAsiaTheme="minorHAnsi" w:cs="Calibri"/>
              </w:rPr>
              <w:t xml:space="preserve"> </w:t>
            </w:r>
            <w:r w:rsidRPr="008351A3">
              <w:rPr>
                <w:rFonts w:eastAsiaTheme="minorHAnsi" w:cs="Calibri"/>
              </w:rPr>
              <w:t>external constituents.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0C7E7E19" w14:textId="36A8597C" w:rsidR="006A796C" w:rsidRPr="00E04250" w:rsidRDefault="008351A3"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6A796C" w:rsidRPr="00E04250">
              <w:rPr>
                <w:sz w:val="20"/>
                <w:szCs w:val="20"/>
              </w:rPr>
              <w:t xml:space="preserve"> 1: Student Learning                             </w:t>
            </w:r>
          </w:p>
          <w:p w14:paraId="0C7E7E1A" w14:textId="77777777" w:rsidR="006A796C" w:rsidRPr="00E04250" w:rsidRDefault="006A796C"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2D3173">
              <w:rPr>
                <w:sz w:val="20"/>
                <w:szCs w:val="20"/>
              </w:rPr>
            </w:r>
            <w:r w:rsidR="002D3173">
              <w:rPr>
                <w:sz w:val="20"/>
                <w:szCs w:val="20"/>
              </w:rPr>
              <w:fldChar w:fldCharType="separate"/>
            </w:r>
            <w:r w:rsidRPr="00E04250">
              <w:rPr>
                <w:sz w:val="20"/>
                <w:szCs w:val="20"/>
              </w:rPr>
              <w:fldChar w:fldCharType="end"/>
            </w:r>
            <w:r w:rsidRPr="00E04250">
              <w:rPr>
                <w:sz w:val="20"/>
                <w:szCs w:val="20"/>
              </w:rPr>
              <w:t xml:space="preserve"> 2: Student Progression and Completion              </w:t>
            </w:r>
          </w:p>
          <w:p w14:paraId="0C7E7E1B" w14:textId="77777777"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2D3173">
              <w:rPr>
                <w:sz w:val="20"/>
                <w:szCs w:val="20"/>
              </w:rPr>
            </w:r>
            <w:r w:rsidR="002D3173">
              <w:rPr>
                <w:sz w:val="20"/>
                <w:szCs w:val="20"/>
              </w:rPr>
              <w:fldChar w:fldCharType="separate"/>
            </w:r>
            <w:r w:rsidRPr="00E04250">
              <w:rPr>
                <w:sz w:val="20"/>
                <w:szCs w:val="20"/>
              </w:rPr>
              <w:fldChar w:fldCharType="end"/>
            </w:r>
            <w:r w:rsidRPr="00E04250">
              <w:rPr>
                <w:sz w:val="20"/>
                <w:szCs w:val="20"/>
              </w:rPr>
              <w:t xml:space="preserve"> 3: Facilities                          </w:t>
            </w:r>
          </w:p>
          <w:p w14:paraId="0C7E7E1C" w14:textId="77777777"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2D3173">
              <w:rPr>
                <w:sz w:val="20"/>
                <w:szCs w:val="20"/>
              </w:rPr>
            </w:r>
            <w:r w:rsidR="002D3173">
              <w:rPr>
                <w:sz w:val="20"/>
                <w:szCs w:val="20"/>
              </w:rPr>
              <w:fldChar w:fldCharType="separate"/>
            </w:r>
            <w:r w:rsidRPr="00E04250">
              <w:rPr>
                <w:sz w:val="20"/>
                <w:szCs w:val="20"/>
              </w:rPr>
              <w:fldChar w:fldCharType="end"/>
            </w:r>
            <w:r w:rsidRPr="00E04250">
              <w:rPr>
                <w:sz w:val="20"/>
                <w:szCs w:val="20"/>
              </w:rPr>
              <w:t xml:space="preserve"> 4: Oversight and Accountability           </w:t>
            </w:r>
          </w:p>
          <w:p w14:paraId="0C7E7E1D" w14:textId="77777777"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2D3173">
              <w:rPr>
                <w:sz w:val="20"/>
                <w:szCs w:val="20"/>
              </w:rPr>
            </w:r>
            <w:r w:rsidR="002D3173">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14:paraId="0C7E7E1E" w14:textId="36B3C8F3" w:rsidR="006A796C" w:rsidRPr="00E04250" w:rsidRDefault="007034C0"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6A796C" w:rsidRPr="00E04250">
              <w:rPr>
                <w:sz w:val="20"/>
                <w:szCs w:val="20"/>
              </w:rPr>
              <w:t xml:space="preserve"> Completed:</w:t>
            </w:r>
            <w:r w:rsidR="00E04250">
              <w:rPr>
                <w:sz w:val="20"/>
                <w:szCs w:val="20"/>
              </w:rPr>
              <w:t xml:space="preserve"> </w:t>
            </w:r>
            <w:r w:rsidRPr="008351A3">
              <w:rPr>
                <w:sz w:val="20"/>
                <w:szCs w:val="20"/>
                <w:u w:val="single"/>
              </w:rPr>
              <w:t>Spring 2015</w:t>
            </w:r>
            <w:r w:rsidRPr="00E04250">
              <w:rPr>
                <w:sz w:val="20"/>
                <w:szCs w:val="20"/>
              </w:rPr>
              <w:t xml:space="preserve">  (Date)  </w:t>
            </w:r>
          </w:p>
          <w:p w14:paraId="0C7E7E1F" w14:textId="631B9C01" w:rsidR="006A796C" w:rsidRPr="00E04250" w:rsidRDefault="007034C0" w:rsidP="00E04250">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006A796C" w:rsidRPr="00E04250">
              <w:rPr>
                <w:sz w:val="20"/>
                <w:szCs w:val="20"/>
              </w:rPr>
              <w:t xml:space="preserve"> Revised:   </w:t>
            </w:r>
            <w:r w:rsidR="00E04250">
              <w:rPr>
                <w:sz w:val="20"/>
                <w:szCs w:val="20"/>
              </w:rPr>
              <w:t xml:space="preserve">    </w:t>
            </w:r>
            <w:r w:rsidR="006A796C" w:rsidRPr="00E04250">
              <w:rPr>
                <w:sz w:val="20"/>
                <w:szCs w:val="20"/>
              </w:rPr>
              <w:t>__________ (Date)</w:t>
            </w:r>
          </w:p>
          <w:p w14:paraId="0C7E7E20" w14:textId="77777777" w:rsidR="006A796C" w:rsidRPr="00E04250" w:rsidRDefault="006A796C" w:rsidP="00E0425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2D3173">
              <w:rPr>
                <w:b/>
                <w:sz w:val="20"/>
                <w:szCs w:val="20"/>
                <w:u w:val="single"/>
              </w:rPr>
            </w:r>
            <w:r w:rsidR="002D3173">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sidR="00E04250">
              <w:rPr>
                <w:sz w:val="20"/>
                <w:szCs w:val="20"/>
              </w:rPr>
              <w:t xml:space="preserve">   </w:t>
            </w:r>
            <w:r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14:paraId="0C7E7E21" w14:textId="030281CA" w:rsidR="006A796C" w:rsidRPr="000E03F4" w:rsidRDefault="007034C0" w:rsidP="00E04250">
            <w:pPr>
              <w:spacing w:after="0" w:line="240" w:lineRule="auto"/>
              <w:rPr>
                <w:rFonts w:eastAsiaTheme="minorHAnsi"/>
                <w:color w:val="000000"/>
              </w:rPr>
            </w:pPr>
            <w:r w:rsidRPr="000E03F4">
              <w:rPr>
                <w:rFonts w:eastAsiaTheme="minorHAnsi"/>
                <w:color w:val="000000"/>
              </w:rPr>
              <w:t>The full-time Woodworking faculty member who developed this goal retired in May 2015 without fully completing this goal and left no documentation providing direction as to its progress.</w:t>
            </w:r>
            <w:r w:rsidR="000E03F4">
              <w:rPr>
                <w:rFonts w:eastAsiaTheme="minorHAnsi"/>
                <w:color w:val="000000"/>
              </w:rPr>
              <w:t xml:space="preserve">  </w:t>
            </w:r>
            <w:r w:rsidR="000E03F4">
              <w:rPr>
                <w:rFonts w:eastAsiaTheme="minorHAnsi"/>
                <w:color w:val="000000"/>
              </w:rPr>
              <w:t>Therefore, it is being abandoned.</w:t>
            </w:r>
          </w:p>
        </w:tc>
      </w:tr>
    </w:tbl>
    <w:p w14:paraId="0C7E7E23" w14:textId="77777777" w:rsidR="0059381F" w:rsidRDefault="0059381F" w:rsidP="00E04250">
      <w:pPr>
        <w:spacing w:after="0" w:line="240" w:lineRule="auto"/>
        <w:rPr>
          <w:b/>
          <w:u w:val="single"/>
        </w:rPr>
      </w:pPr>
    </w:p>
    <w:p w14:paraId="0C7E7E24" w14:textId="77777777" w:rsidR="008B60D9" w:rsidRDefault="008B60D9" w:rsidP="00E04250">
      <w:pPr>
        <w:spacing w:after="0" w:line="240" w:lineRule="auto"/>
        <w:rPr>
          <w:b/>
          <w:u w:val="single"/>
        </w:rPr>
      </w:pPr>
    </w:p>
    <w:p w14:paraId="0C7E7E25" w14:textId="77777777" w:rsidR="008B60D9" w:rsidRDefault="008B60D9" w:rsidP="00E04250">
      <w:pPr>
        <w:spacing w:after="0" w:line="240" w:lineRule="auto"/>
        <w:rPr>
          <w:b/>
          <w:u w:val="single"/>
        </w:rPr>
      </w:pPr>
    </w:p>
    <w:p w14:paraId="0C7E7E26" w14:textId="77777777" w:rsidR="008B60D9" w:rsidRDefault="008B60D9" w:rsidP="00E04250">
      <w:pPr>
        <w:spacing w:after="0" w:line="240" w:lineRule="auto"/>
        <w:rPr>
          <w:b/>
          <w:u w:val="single"/>
        </w:rPr>
      </w:pPr>
    </w:p>
    <w:p w14:paraId="0C7E7E27" w14:textId="77777777" w:rsidR="008B60D9" w:rsidRDefault="008B60D9" w:rsidP="00E04250">
      <w:pPr>
        <w:spacing w:after="0" w:line="240" w:lineRule="auto"/>
        <w:rPr>
          <w:b/>
          <w:u w:val="single"/>
        </w:rPr>
      </w:pPr>
    </w:p>
    <w:p w14:paraId="0C7E7E28" w14:textId="77777777" w:rsidR="008B60D9" w:rsidRDefault="008B60D9" w:rsidP="00E04250">
      <w:pPr>
        <w:spacing w:after="0" w:line="240" w:lineRule="auto"/>
        <w:rPr>
          <w:b/>
          <w:u w:val="single"/>
        </w:rPr>
      </w:pPr>
    </w:p>
    <w:p w14:paraId="0C7E7E29" w14:textId="77777777"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14:paraId="0C7E7E2A" w14:textId="77777777"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14:paraId="0C7E7E2E" w14:textId="77777777"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7E7E2B" w14:textId="77777777"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7E7E2C" w14:textId="77777777"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7E7E2D" w14:textId="77777777" w:rsidR="0059381F" w:rsidRPr="00E04250" w:rsidRDefault="0059381F" w:rsidP="00E04250">
            <w:pPr>
              <w:jc w:val="center"/>
              <w:rPr>
                <w:b/>
              </w:rPr>
            </w:pPr>
            <w:r w:rsidRPr="00E04250">
              <w:rPr>
                <w:b/>
              </w:rPr>
              <w:t>Anticipated Results</w:t>
            </w:r>
          </w:p>
        </w:tc>
      </w:tr>
      <w:tr w:rsidR="0059381F" w:rsidRPr="00E04250" w14:paraId="0C7E7E36" w14:textId="77777777" w:rsidTr="00E04250">
        <w:tc>
          <w:tcPr>
            <w:tcW w:w="4320" w:type="dxa"/>
            <w:tcBorders>
              <w:top w:val="single" w:sz="4" w:space="0" w:color="auto"/>
              <w:left w:val="single" w:sz="4" w:space="0" w:color="auto"/>
              <w:bottom w:val="single" w:sz="4" w:space="0" w:color="auto"/>
              <w:right w:val="single" w:sz="4" w:space="0" w:color="auto"/>
            </w:tcBorders>
          </w:tcPr>
          <w:p w14:paraId="0C7E7E2F" w14:textId="06FA47A9" w:rsidR="0059381F" w:rsidRPr="00E04250" w:rsidRDefault="002D3EC0" w:rsidP="00B40CF2">
            <w:pPr>
              <w:rPr>
                <w:b/>
              </w:rPr>
            </w:pPr>
            <w:r>
              <w:rPr>
                <w:b/>
              </w:rPr>
              <w:t xml:space="preserve">The WOOD </w:t>
            </w:r>
            <w:r w:rsidR="00483E72">
              <w:rPr>
                <w:b/>
              </w:rPr>
              <w:t xml:space="preserve">course SLO’s </w:t>
            </w:r>
            <w:r>
              <w:rPr>
                <w:b/>
              </w:rPr>
              <w:t xml:space="preserve">will be revised </w:t>
            </w:r>
            <w:r w:rsidR="00483E72">
              <w:rPr>
                <w:b/>
              </w:rPr>
              <w:t>to make them assess</w:t>
            </w:r>
            <w:r w:rsidR="00B40CF2">
              <w:rPr>
                <w:b/>
              </w:rPr>
              <w:t xml:space="preserve"> specific, higher-level critical thinking skills.  </w:t>
            </w:r>
            <w:r>
              <w:rPr>
                <w:b/>
              </w:rPr>
              <w:t xml:space="preserve">Currently, each of the five WOOD courses have the same nine SLO’s, each SLO being broad in nature.  </w:t>
            </w:r>
            <w:r w:rsidR="00B40CF2">
              <w:rPr>
                <w:b/>
              </w:rPr>
              <w:t>The quantity of SLO’s will be also be reduced.</w:t>
            </w:r>
          </w:p>
        </w:tc>
        <w:tc>
          <w:tcPr>
            <w:tcW w:w="5310" w:type="dxa"/>
            <w:tcBorders>
              <w:top w:val="single" w:sz="4" w:space="0" w:color="auto"/>
              <w:left w:val="single" w:sz="4" w:space="0" w:color="auto"/>
              <w:bottom w:val="single" w:sz="4" w:space="0" w:color="auto"/>
              <w:right w:val="single" w:sz="4" w:space="0" w:color="auto"/>
            </w:tcBorders>
          </w:tcPr>
          <w:p w14:paraId="0C7E7E30" w14:textId="6D334759" w:rsidR="006A796C" w:rsidRPr="00E04250" w:rsidRDefault="00B40CF2" w:rsidP="00E04250">
            <w:pPr>
              <w:pStyle w:val="NoSpacing"/>
              <w:rPr>
                <w:sz w:val="20"/>
                <w:szCs w:val="20"/>
              </w:rPr>
            </w:pPr>
            <w:r>
              <w:rPr>
                <w:sz w:val="20"/>
                <w:szCs w:val="20"/>
              </w:rPr>
              <w:fldChar w:fldCharType="begin">
                <w:ffData>
                  <w:name w:val="Check1"/>
                  <w:enabled/>
                  <w:calcOnExit w:val="0"/>
                  <w:checkBox>
                    <w:sizeAuto/>
                    <w:default w:val="1"/>
                  </w:checkBox>
                </w:ffData>
              </w:fldChar>
            </w:r>
            <w:bookmarkStart w:id="4" w:name="Check1"/>
            <w:r>
              <w:rPr>
                <w:sz w:val="20"/>
                <w:szCs w:val="20"/>
              </w:rPr>
              <w:instrText xml:space="preserve"> FORMCHECKBOX </w:instrText>
            </w:r>
            <w:r>
              <w:rPr>
                <w:sz w:val="20"/>
                <w:szCs w:val="20"/>
              </w:rPr>
            </w:r>
            <w:r>
              <w:rPr>
                <w:sz w:val="20"/>
                <w:szCs w:val="20"/>
              </w:rPr>
              <w:fldChar w:fldCharType="end"/>
            </w:r>
            <w:bookmarkEnd w:id="4"/>
            <w:r w:rsidR="0059381F" w:rsidRPr="00E04250">
              <w:rPr>
                <w:sz w:val="20"/>
                <w:szCs w:val="20"/>
              </w:rPr>
              <w:t xml:space="preserve"> 1: Student Learning                            </w:t>
            </w:r>
          </w:p>
          <w:p w14:paraId="0C7E7E31" w14:textId="233D12AB" w:rsidR="0059381F" w:rsidRPr="00E04250" w:rsidRDefault="002D3173"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5" w:name="Check2"/>
            <w:r>
              <w:rPr>
                <w:sz w:val="20"/>
                <w:szCs w:val="20"/>
              </w:rPr>
              <w:instrText xml:space="preserve"> FORMCHECKBOX </w:instrText>
            </w:r>
            <w:r>
              <w:rPr>
                <w:sz w:val="20"/>
                <w:szCs w:val="20"/>
              </w:rPr>
            </w:r>
            <w:r>
              <w:rPr>
                <w:sz w:val="20"/>
                <w:szCs w:val="20"/>
              </w:rPr>
              <w:fldChar w:fldCharType="end"/>
            </w:r>
            <w:bookmarkEnd w:id="5"/>
            <w:r w:rsidR="0059381F" w:rsidRPr="00E04250">
              <w:rPr>
                <w:sz w:val="20"/>
                <w:szCs w:val="20"/>
              </w:rPr>
              <w:t xml:space="preserve"> 2: Student Progression and Completion           </w:t>
            </w:r>
          </w:p>
          <w:p w14:paraId="0C7E7E32" w14:textId="77777777"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2D3173">
              <w:rPr>
                <w:sz w:val="20"/>
                <w:szCs w:val="20"/>
              </w:rPr>
            </w:r>
            <w:r w:rsidR="002D3173">
              <w:rPr>
                <w:sz w:val="20"/>
                <w:szCs w:val="20"/>
              </w:rPr>
              <w:fldChar w:fldCharType="separate"/>
            </w:r>
            <w:r w:rsidRPr="00E04250">
              <w:rPr>
                <w:sz w:val="20"/>
                <w:szCs w:val="20"/>
              </w:rPr>
              <w:fldChar w:fldCharType="end"/>
            </w:r>
            <w:r w:rsidRPr="00E04250">
              <w:rPr>
                <w:sz w:val="20"/>
                <w:szCs w:val="20"/>
              </w:rPr>
              <w:t xml:space="preserve"> 3: Facilities                             </w:t>
            </w:r>
          </w:p>
          <w:p w14:paraId="0C7E7E33" w14:textId="77777777"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2D3173">
              <w:rPr>
                <w:sz w:val="20"/>
                <w:szCs w:val="20"/>
              </w:rPr>
            </w:r>
            <w:r w:rsidR="002D3173">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14:paraId="0C7E7E34" w14:textId="77777777"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2D3173">
              <w:rPr>
                <w:sz w:val="20"/>
                <w:szCs w:val="20"/>
              </w:rPr>
            </w:r>
            <w:r w:rsidR="002D3173">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14:paraId="0C7E7E35" w14:textId="44AE1294" w:rsidR="0059381F" w:rsidRPr="00E04250" w:rsidRDefault="00B40CF2" w:rsidP="00E04250">
            <w:pPr>
              <w:rPr>
                <w:b/>
              </w:rPr>
            </w:pPr>
            <w:r>
              <w:rPr>
                <w:b/>
              </w:rPr>
              <w:t>The revised SLO’s will provide better data to inform course and program planning.</w:t>
            </w:r>
          </w:p>
        </w:tc>
      </w:tr>
      <w:tr w:rsidR="00B40CF2" w:rsidRPr="00E04250" w14:paraId="6920E891" w14:textId="77777777" w:rsidTr="00E04250">
        <w:tc>
          <w:tcPr>
            <w:tcW w:w="4320" w:type="dxa"/>
            <w:tcBorders>
              <w:top w:val="single" w:sz="4" w:space="0" w:color="auto"/>
              <w:left w:val="single" w:sz="4" w:space="0" w:color="auto"/>
              <w:bottom w:val="single" w:sz="4" w:space="0" w:color="auto"/>
              <w:right w:val="single" w:sz="4" w:space="0" w:color="auto"/>
            </w:tcBorders>
          </w:tcPr>
          <w:p w14:paraId="222FEEE7" w14:textId="724455A0" w:rsidR="00B40CF2" w:rsidRDefault="00B40CF2" w:rsidP="003A5277">
            <w:pPr>
              <w:rPr>
                <w:b/>
              </w:rPr>
            </w:pPr>
            <w:r>
              <w:rPr>
                <w:b/>
              </w:rPr>
              <w:lastRenderedPageBreak/>
              <w:t>The goals of the WOOD program and program learning outcomes will be reevaluated.  Current employment data indicate reduced industry demand for professional woodworkers.  However, the need for cabinetmakers may increase w</w:t>
            </w:r>
            <w:r w:rsidR="000E03F4">
              <w:rPr>
                <w:b/>
              </w:rPr>
              <w:t>ith an increase in residential construction.</w:t>
            </w:r>
          </w:p>
        </w:tc>
        <w:tc>
          <w:tcPr>
            <w:tcW w:w="5310" w:type="dxa"/>
            <w:tcBorders>
              <w:top w:val="single" w:sz="4" w:space="0" w:color="auto"/>
              <w:left w:val="single" w:sz="4" w:space="0" w:color="auto"/>
              <w:bottom w:val="single" w:sz="4" w:space="0" w:color="auto"/>
              <w:right w:val="single" w:sz="4" w:space="0" w:color="auto"/>
            </w:tcBorders>
          </w:tcPr>
          <w:p w14:paraId="032735F3" w14:textId="77777777" w:rsidR="00B40CF2" w:rsidRPr="00E04250" w:rsidRDefault="00B40CF2" w:rsidP="00B40CF2">
            <w:pPr>
              <w:pStyle w:val="NoSpacing"/>
              <w:rPr>
                <w:sz w:val="20"/>
                <w:szCs w:val="20"/>
              </w:rPr>
            </w:pPr>
            <w:r>
              <w:rPr>
                <w:sz w:val="20"/>
                <w:szCs w:val="20"/>
              </w:rPr>
              <w:fldChar w:fldCharType="begin">
                <w:ffData>
                  <w:name w:val="Check1"/>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1: Student Learning                            </w:t>
            </w:r>
          </w:p>
          <w:p w14:paraId="124D5A43" w14:textId="1F8A4281" w:rsidR="00B40CF2" w:rsidRPr="00E04250" w:rsidRDefault="002D3173" w:rsidP="00B40CF2">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B40CF2" w:rsidRPr="00E04250">
              <w:rPr>
                <w:sz w:val="20"/>
                <w:szCs w:val="20"/>
              </w:rPr>
              <w:t xml:space="preserve"> 2: Student Progression and Completion           </w:t>
            </w:r>
          </w:p>
          <w:p w14:paraId="3C8C6B8C" w14:textId="77777777" w:rsidR="00B40CF2" w:rsidRPr="00E04250" w:rsidRDefault="00B40CF2" w:rsidP="00B40CF2">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3: Facilities                             </w:t>
            </w:r>
          </w:p>
          <w:p w14:paraId="7206B4F8" w14:textId="29FB97D6" w:rsidR="00B40CF2" w:rsidRPr="00E04250" w:rsidRDefault="002D3173" w:rsidP="00B40CF2">
            <w:pPr>
              <w:pStyle w:val="NoSpacing"/>
              <w:rPr>
                <w:sz w:val="20"/>
                <w:szCs w:val="20"/>
              </w:rPr>
            </w:pPr>
            <w:r>
              <w:rPr>
                <w:sz w:val="20"/>
                <w:szCs w:val="20"/>
              </w:rPr>
              <w:fldChar w:fldCharType="begin">
                <w:ffData>
                  <w:name w:val="Check4"/>
                  <w:enabled/>
                  <w:calcOnExit w:val="0"/>
                  <w:checkBox>
                    <w:sizeAuto/>
                    <w:default w:val="0"/>
                  </w:checkBox>
                </w:ffData>
              </w:fldChar>
            </w:r>
            <w:bookmarkStart w:id="6" w:name="Check4"/>
            <w:r>
              <w:rPr>
                <w:sz w:val="20"/>
                <w:szCs w:val="20"/>
              </w:rPr>
              <w:instrText xml:space="preserve"> FORMCHECKBOX </w:instrText>
            </w:r>
            <w:r>
              <w:rPr>
                <w:sz w:val="20"/>
                <w:szCs w:val="20"/>
              </w:rPr>
            </w:r>
            <w:r>
              <w:rPr>
                <w:sz w:val="20"/>
                <w:szCs w:val="20"/>
              </w:rPr>
              <w:fldChar w:fldCharType="end"/>
            </w:r>
            <w:bookmarkEnd w:id="6"/>
            <w:r w:rsidR="00B40CF2" w:rsidRPr="00E04250">
              <w:rPr>
                <w:sz w:val="20"/>
                <w:szCs w:val="20"/>
              </w:rPr>
              <w:t xml:space="preserve"> 4: Oversight and Accountability          </w:t>
            </w:r>
          </w:p>
          <w:p w14:paraId="23ECEAC3" w14:textId="06598981" w:rsidR="00B40CF2" w:rsidRDefault="00B40CF2" w:rsidP="00B40CF2">
            <w:pPr>
              <w:pStyle w:val="NoSpacing"/>
              <w:rPr>
                <w:sz w:val="20"/>
                <w:szCs w:val="20"/>
              </w:rPr>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14:paraId="5EBC16DA" w14:textId="77777777" w:rsidR="00B40CF2" w:rsidRPr="001B7067" w:rsidRDefault="00B40CF2" w:rsidP="001B7067">
            <w:pPr>
              <w:pStyle w:val="ListParagraph"/>
              <w:numPr>
                <w:ilvl w:val="0"/>
                <w:numId w:val="28"/>
              </w:numPr>
              <w:ind w:left="589" w:hanging="229"/>
              <w:rPr>
                <w:b/>
              </w:rPr>
            </w:pPr>
            <w:r w:rsidRPr="001B7067">
              <w:rPr>
                <w:b/>
              </w:rPr>
              <w:t xml:space="preserve">A revised WOOD program and revised PLO’s relevant to the current and projected state of industry needs.  </w:t>
            </w:r>
          </w:p>
          <w:p w14:paraId="52F70252" w14:textId="62B0E9C8" w:rsidR="007034C0" w:rsidRPr="001B7067" w:rsidRDefault="001B7067" w:rsidP="001B7067">
            <w:pPr>
              <w:pStyle w:val="ListParagraph"/>
              <w:numPr>
                <w:ilvl w:val="0"/>
                <w:numId w:val="28"/>
              </w:numPr>
              <w:ind w:left="589" w:hanging="229"/>
              <w:rPr>
                <w:b/>
              </w:rPr>
            </w:pPr>
            <w:r w:rsidRPr="001B7067">
              <w:rPr>
                <w:b/>
              </w:rPr>
              <w:t>Investigate</w:t>
            </w:r>
            <w:r w:rsidR="007034C0" w:rsidRPr="001B7067">
              <w:rPr>
                <w:b/>
              </w:rPr>
              <w:t xml:space="preserve"> possible realignment of Wood Lab resources to support activi</w:t>
            </w:r>
            <w:r w:rsidRPr="001B7067">
              <w:rPr>
                <w:b/>
              </w:rPr>
              <w:t>ties with the construction and architecture programs.</w:t>
            </w:r>
          </w:p>
        </w:tc>
      </w:tr>
    </w:tbl>
    <w:p w14:paraId="0C7E7E37" w14:textId="77777777" w:rsidR="0059381F" w:rsidRPr="00E04250" w:rsidRDefault="0059381F" w:rsidP="00E04250">
      <w:pPr>
        <w:spacing w:after="0" w:line="240" w:lineRule="auto"/>
        <w:rPr>
          <w:b/>
          <w:u w:val="single"/>
        </w:rPr>
      </w:pPr>
    </w:p>
    <w:p w14:paraId="0C7E7E38" w14:textId="77777777"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14:paraId="0C7E7E39" w14:textId="77777777"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14:paraId="0C7E7E3A" w14:textId="77777777" w:rsidR="006A796C"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14:paraId="1F62228F" w14:textId="7D73AEE9" w:rsidR="00DF2FB4" w:rsidRDefault="00DF2FB4" w:rsidP="00DF2FB4">
      <w:pPr>
        <w:pStyle w:val="NormalWeb"/>
        <w:spacing w:before="0" w:beforeAutospacing="0" w:after="0" w:afterAutospacing="0"/>
        <w:ind w:left="360"/>
        <w:rPr>
          <w:rFonts w:ascii="Calibri" w:hAnsi="Calibri"/>
          <w:sz w:val="22"/>
          <w:szCs w:val="22"/>
        </w:rPr>
      </w:pPr>
      <w:r w:rsidRPr="00BD56DB">
        <w:rPr>
          <w:rFonts w:ascii="Calibri" w:hAnsi="Calibri"/>
          <w:sz w:val="22"/>
          <w:szCs w:val="22"/>
          <w:u w:val="single"/>
        </w:rPr>
        <w:t>Gender</w:t>
      </w:r>
      <w:r>
        <w:rPr>
          <w:rFonts w:ascii="Calibri" w:hAnsi="Calibri"/>
          <w:sz w:val="22"/>
          <w:szCs w:val="22"/>
        </w:rPr>
        <w:t>: The percentage of f</w:t>
      </w:r>
      <w:r w:rsidR="004E25C4">
        <w:rPr>
          <w:rFonts w:ascii="Calibri" w:hAnsi="Calibri"/>
          <w:sz w:val="22"/>
          <w:szCs w:val="22"/>
        </w:rPr>
        <w:t>emale students has held relatively steady the past three years: 13% (8 students) in 2013-14, 16</w:t>
      </w:r>
      <w:r>
        <w:rPr>
          <w:rFonts w:ascii="Calibri" w:hAnsi="Calibri"/>
          <w:sz w:val="22"/>
          <w:szCs w:val="22"/>
        </w:rPr>
        <w:t xml:space="preserve">% </w:t>
      </w:r>
      <w:r w:rsidR="004E25C4">
        <w:rPr>
          <w:rFonts w:ascii="Calibri" w:hAnsi="Calibri"/>
          <w:sz w:val="22"/>
          <w:szCs w:val="22"/>
        </w:rPr>
        <w:t xml:space="preserve">(9 students) </w:t>
      </w:r>
      <w:r>
        <w:rPr>
          <w:rFonts w:ascii="Calibri" w:hAnsi="Calibri"/>
          <w:sz w:val="22"/>
          <w:szCs w:val="22"/>
        </w:rPr>
        <w:t>in 2014-15, and 2</w:t>
      </w:r>
      <w:r w:rsidR="004E25C4">
        <w:rPr>
          <w:rFonts w:ascii="Calibri" w:hAnsi="Calibri"/>
          <w:sz w:val="22"/>
          <w:szCs w:val="22"/>
        </w:rPr>
        <w:t>0</w:t>
      </w:r>
      <w:r>
        <w:rPr>
          <w:rFonts w:ascii="Calibri" w:hAnsi="Calibri"/>
          <w:sz w:val="22"/>
          <w:szCs w:val="22"/>
        </w:rPr>
        <w:t>%</w:t>
      </w:r>
      <w:r w:rsidR="004E25C4">
        <w:rPr>
          <w:rFonts w:ascii="Calibri" w:hAnsi="Calibri"/>
          <w:sz w:val="22"/>
          <w:szCs w:val="22"/>
        </w:rPr>
        <w:t xml:space="preserve"> (12 students)</w:t>
      </w:r>
      <w:r>
        <w:rPr>
          <w:rFonts w:ascii="Calibri" w:hAnsi="Calibri"/>
          <w:sz w:val="22"/>
          <w:szCs w:val="22"/>
        </w:rPr>
        <w:t xml:space="preserve"> in 2015-16.  The possible reasons for this are unclear, however, efforts will be made to increase the percentage of female students.</w:t>
      </w:r>
    </w:p>
    <w:p w14:paraId="12D485B1" w14:textId="77777777" w:rsidR="00DF2FB4" w:rsidRDefault="00DF2FB4" w:rsidP="004E25C4">
      <w:pPr>
        <w:pStyle w:val="NormalWeb"/>
        <w:spacing w:before="0" w:beforeAutospacing="0" w:after="0" w:afterAutospacing="0"/>
        <w:ind w:firstLine="360"/>
        <w:rPr>
          <w:rFonts w:ascii="Calibri" w:hAnsi="Calibri"/>
          <w:sz w:val="22"/>
          <w:szCs w:val="22"/>
        </w:rPr>
      </w:pPr>
      <w:r w:rsidRPr="00BD56DB">
        <w:rPr>
          <w:rFonts w:ascii="Calibri" w:hAnsi="Calibri"/>
          <w:sz w:val="22"/>
          <w:szCs w:val="22"/>
          <w:u w:val="single"/>
        </w:rPr>
        <w:t>Age and Ethnicity</w:t>
      </w:r>
      <w:r>
        <w:rPr>
          <w:rFonts w:ascii="Calibri" w:hAnsi="Calibri"/>
          <w:sz w:val="22"/>
          <w:szCs w:val="22"/>
        </w:rPr>
        <w:t xml:space="preserve">:  The percentages for these two areas very closely follow the college-wide statistics.   </w:t>
      </w:r>
    </w:p>
    <w:p w14:paraId="04F1BC81" w14:textId="77777777" w:rsidR="00DF2FB4" w:rsidRPr="00E04250" w:rsidRDefault="00DF2FB4" w:rsidP="00DF2FB4">
      <w:pPr>
        <w:pStyle w:val="ListParagraph"/>
        <w:spacing w:after="0" w:line="240" w:lineRule="auto"/>
        <w:ind w:left="360"/>
        <w:rPr>
          <w:rFonts w:cstheme="minorHAnsi"/>
        </w:rPr>
      </w:pPr>
    </w:p>
    <w:p w14:paraId="0C7E7E3B" w14:textId="77777777" w:rsidR="006A796C"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14:paraId="29C35F04" w14:textId="34F51981" w:rsidR="00DF2FB4" w:rsidRDefault="00DF2FB4" w:rsidP="00DF2FB4">
      <w:pPr>
        <w:pStyle w:val="NormalWeb"/>
        <w:spacing w:before="0" w:beforeAutospacing="0" w:after="0" w:afterAutospacing="0"/>
        <w:ind w:left="360"/>
        <w:rPr>
          <w:rFonts w:asciiTheme="minorHAnsi" w:hAnsiTheme="minorHAnsi"/>
          <w:sz w:val="22"/>
          <w:szCs w:val="22"/>
        </w:rPr>
      </w:pPr>
      <w:r w:rsidRPr="00F666F6">
        <w:rPr>
          <w:rFonts w:asciiTheme="minorHAnsi" w:hAnsiTheme="minorHAnsi"/>
          <w:sz w:val="22"/>
          <w:szCs w:val="22"/>
          <w:u w:val="single"/>
        </w:rPr>
        <w:t>Headcount:</w:t>
      </w:r>
      <w:r>
        <w:rPr>
          <w:rFonts w:asciiTheme="minorHAnsi" w:hAnsiTheme="minorHAnsi"/>
          <w:sz w:val="22"/>
          <w:szCs w:val="22"/>
        </w:rPr>
        <w:t xml:space="preserve">  </w:t>
      </w:r>
      <w:r w:rsidRPr="00BD56DB">
        <w:rPr>
          <w:rFonts w:asciiTheme="minorHAnsi" w:hAnsiTheme="minorHAnsi"/>
          <w:sz w:val="22"/>
          <w:szCs w:val="22"/>
        </w:rPr>
        <w:t>The</w:t>
      </w:r>
      <w:r>
        <w:rPr>
          <w:rFonts w:asciiTheme="minorHAnsi" w:hAnsiTheme="minorHAnsi"/>
          <w:sz w:val="22"/>
          <w:szCs w:val="22"/>
        </w:rPr>
        <w:t xml:space="preserve"> un</w:t>
      </w:r>
      <w:r w:rsidR="004E25C4">
        <w:rPr>
          <w:rFonts w:asciiTheme="minorHAnsi" w:hAnsiTheme="minorHAnsi"/>
          <w:sz w:val="22"/>
          <w:szCs w:val="22"/>
        </w:rPr>
        <w:t xml:space="preserve">duplicated headcount has remained relatively steady dipping slightly from 65 in 2015 to 60 in 2015-16.  </w:t>
      </w:r>
    </w:p>
    <w:p w14:paraId="4720EDB6" w14:textId="2A42686A" w:rsidR="00DF2FB4" w:rsidRDefault="00DF2FB4" w:rsidP="00DF2FB4">
      <w:pPr>
        <w:pStyle w:val="NormalWeb"/>
        <w:spacing w:before="0" w:beforeAutospacing="0" w:after="0" w:afterAutospacing="0"/>
        <w:ind w:left="360"/>
        <w:rPr>
          <w:rFonts w:asciiTheme="minorHAnsi" w:hAnsiTheme="minorHAnsi"/>
          <w:sz w:val="22"/>
          <w:szCs w:val="22"/>
        </w:rPr>
      </w:pPr>
      <w:r w:rsidRPr="00F666F6">
        <w:rPr>
          <w:rFonts w:asciiTheme="minorHAnsi" w:hAnsiTheme="minorHAnsi"/>
          <w:sz w:val="22"/>
          <w:szCs w:val="22"/>
          <w:u w:val="single"/>
        </w:rPr>
        <w:t>Sections:</w:t>
      </w:r>
      <w:r>
        <w:rPr>
          <w:rFonts w:asciiTheme="minorHAnsi" w:hAnsiTheme="minorHAnsi"/>
          <w:sz w:val="22"/>
          <w:szCs w:val="22"/>
        </w:rPr>
        <w:t xml:space="preserve"> Six</w:t>
      </w:r>
      <w:r w:rsidRPr="00BD56DB">
        <w:rPr>
          <w:rFonts w:asciiTheme="minorHAnsi" w:hAnsiTheme="minorHAnsi"/>
          <w:sz w:val="22"/>
          <w:szCs w:val="22"/>
        </w:rPr>
        <w:t xml:space="preserve"> cla</w:t>
      </w:r>
      <w:r w:rsidR="004E25C4">
        <w:rPr>
          <w:rFonts w:asciiTheme="minorHAnsi" w:hAnsiTheme="minorHAnsi"/>
          <w:sz w:val="22"/>
          <w:szCs w:val="22"/>
        </w:rPr>
        <w:t xml:space="preserve">ss sections were offered in 2015-16.  The dual enrollment class at Shafter High School aided in </w:t>
      </w:r>
      <w:r w:rsidR="00E13E31">
        <w:rPr>
          <w:rFonts w:asciiTheme="minorHAnsi" w:hAnsiTheme="minorHAnsi"/>
          <w:sz w:val="22"/>
          <w:szCs w:val="22"/>
        </w:rPr>
        <w:t>raising this statistic.</w:t>
      </w:r>
    </w:p>
    <w:p w14:paraId="554C4BBA" w14:textId="7BC49622" w:rsidR="00DF2FB4" w:rsidRPr="004E5274" w:rsidRDefault="00DF2FB4" w:rsidP="00DF2FB4">
      <w:pPr>
        <w:pStyle w:val="NormalWeb"/>
        <w:spacing w:before="0" w:beforeAutospacing="0" w:after="0" w:afterAutospacing="0"/>
        <w:ind w:left="360"/>
        <w:rPr>
          <w:rFonts w:asciiTheme="minorHAnsi" w:hAnsiTheme="minorHAnsi"/>
          <w:sz w:val="22"/>
          <w:szCs w:val="22"/>
        </w:rPr>
      </w:pPr>
      <w:r>
        <w:rPr>
          <w:rFonts w:asciiTheme="minorHAnsi" w:hAnsiTheme="minorHAnsi"/>
          <w:sz w:val="22"/>
          <w:szCs w:val="22"/>
          <w:u w:val="single"/>
        </w:rPr>
        <w:t>Course Enrollment:</w:t>
      </w:r>
      <w:r w:rsidR="00E13E31">
        <w:rPr>
          <w:rFonts w:asciiTheme="minorHAnsi" w:hAnsiTheme="minorHAnsi"/>
          <w:sz w:val="22"/>
          <w:szCs w:val="22"/>
        </w:rPr>
        <w:t xml:space="preserve">  First day enrollment has decreased from 87 in 2014-15 to 61</w:t>
      </w:r>
      <w:r>
        <w:rPr>
          <w:rFonts w:asciiTheme="minorHAnsi" w:hAnsiTheme="minorHAnsi"/>
          <w:sz w:val="22"/>
          <w:szCs w:val="22"/>
        </w:rPr>
        <w:t xml:space="preserve"> in 2015-16.  </w:t>
      </w:r>
      <w:r w:rsidR="00E13E31">
        <w:rPr>
          <w:rFonts w:asciiTheme="minorHAnsi" w:hAnsiTheme="minorHAnsi"/>
          <w:sz w:val="22"/>
          <w:szCs w:val="22"/>
        </w:rPr>
        <w:t>This was due to the retirement of the full-time woodworking instructor in May 2015</w:t>
      </w:r>
      <w:r>
        <w:rPr>
          <w:rFonts w:asciiTheme="minorHAnsi" w:hAnsiTheme="minorHAnsi"/>
          <w:sz w:val="22"/>
          <w:szCs w:val="22"/>
        </w:rPr>
        <w:t>.</w:t>
      </w:r>
      <w:r w:rsidR="00E13E31">
        <w:rPr>
          <w:rFonts w:asciiTheme="minorHAnsi" w:hAnsiTheme="minorHAnsi"/>
          <w:sz w:val="22"/>
          <w:szCs w:val="22"/>
        </w:rPr>
        <w:t xml:space="preserve">  Additional adjunct instructors will be hired to expand this number.</w:t>
      </w:r>
    </w:p>
    <w:p w14:paraId="6B01F03D" w14:textId="0661744B" w:rsidR="00DF2FB4" w:rsidRDefault="00DF2FB4" w:rsidP="00DF2FB4">
      <w:pPr>
        <w:pStyle w:val="NormalWeb"/>
        <w:spacing w:before="0" w:beforeAutospacing="0" w:after="0" w:afterAutospacing="0"/>
        <w:ind w:left="360"/>
        <w:rPr>
          <w:rFonts w:asciiTheme="minorHAnsi" w:hAnsiTheme="minorHAnsi"/>
          <w:sz w:val="22"/>
          <w:szCs w:val="22"/>
        </w:rPr>
      </w:pPr>
      <w:r w:rsidRPr="004E5274">
        <w:rPr>
          <w:rFonts w:asciiTheme="minorHAnsi" w:hAnsiTheme="minorHAnsi"/>
          <w:sz w:val="22"/>
          <w:szCs w:val="22"/>
          <w:u w:val="single"/>
        </w:rPr>
        <w:t>Productivity:</w:t>
      </w:r>
      <w:r>
        <w:rPr>
          <w:rFonts w:asciiTheme="minorHAnsi" w:hAnsiTheme="minorHAnsi"/>
          <w:sz w:val="22"/>
          <w:szCs w:val="22"/>
        </w:rPr>
        <w:t xml:space="preserve">  </w:t>
      </w:r>
      <w:r w:rsidR="00E13E31">
        <w:rPr>
          <w:rFonts w:asciiTheme="minorHAnsi" w:hAnsiTheme="minorHAnsi"/>
          <w:sz w:val="22"/>
          <w:szCs w:val="22"/>
        </w:rPr>
        <w:t>The productivity in 2015-16 was 15.7 – a five year high.  This was due to the on-campus classes being taught as overload by an instructor from the Industrial Drawing program.</w:t>
      </w:r>
    </w:p>
    <w:p w14:paraId="006EA27E" w14:textId="77777777" w:rsidR="00DF2FB4" w:rsidRPr="00E04250" w:rsidRDefault="00DF2FB4" w:rsidP="00DF2FB4">
      <w:pPr>
        <w:pStyle w:val="ListParagraph"/>
        <w:spacing w:after="0" w:line="240" w:lineRule="auto"/>
        <w:ind w:left="360"/>
        <w:rPr>
          <w:rFonts w:cstheme="minorHAnsi"/>
        </w:rPr>
      </w:pPr>
    </w:p>
    <w:p w14:paraId="0C7E7E3C" w14:textId="77777777"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tbl>
      <w:tblPr>
        <w:tblStyle w:val="TableGrid"/>
        <w:tblW w:w="0" w:type="auto"/>
        <w:tblInd w:w="720" w:type="dxa"/>
        <w:tblLook w:val="04A0" w:firstRow="1" w:lastRow="0" w:firstColumn="1" w:lastColumn="0" w:noHBand="0" w:noVBand="1"/>
      </w:tblPr>
      <w:tblGrid>
        <w:gridCol w:w="1100"/>
        <w:gridCol w:w="875"/>
        <w:gridCol w:w="630"/>
        <w:gridCol w:w="1530"/>
        <w:gridCol w:w="1022"/>
        <w:gridCol w:w="778"/>
        <w:gridCol w:w="1530"/>
        <w:gridCol w:w="839"/>
        <w:gridCol w:w="598"/>
        <w:gridCol w:w="1533"/>
        <w:gridCol w:w="839"/>
        <w:gridCol w:w="688"/>
        <w:gridCol w:w="1533"/>
      </w:tblGrid>
      <w:tr w:rsidR="00DF2FB4" w14:paraId="350A4B22" w14:textId="77777777" w:rsidTr="00E13E31">
        <w:tc>
          <w:tcPr>
            <w:tcW w:w="1100" w:type="dxa"/>
          </w:tcPr>
          <w:p w14:paraId="657FAF6D" w14:textId="77777777" w:rsidR="00DF2FB4" w:rsidRDefault="00DF2FB4" w:rsidP="002D3173">
            <w:pPr>
              <w:pStyle w:val="NormalWeb"/>
              <w:spacing w:before="0" w:beforeAutospacing="0" w:after="0" w:afterAutospacing="0"/>
              <w:rPr>
                <w:rFonts w:ascii="Calibri" w:hAnsi="Calibri"/>
                <w:sz w:val="22"/>
                <w:szCs w:val="22"/>
              </w:rPr>
            </w:pPr>
          </w:p>
        </w:tc>
        <w:tc>
          <w:tcPr>
            <w:tcW w:w="3035" w:type="dxa"/>
            <w:gridSpan w:val="3"/>
          </w:tcPr>
          <w:p w14:paraId="6E79E533" w14:textId="77777777" w:rsidR="00DF2FB4" w:rsidRPr="00B1074A" w:rsidRDefault="00DF2FB4" w:rsidP="002D3173">
            <w:pPr>
              <w:pStyle w:val="NormalWeb"/>
              <w:spacing w:before="0" w:beforeAutospacing="0" w:after="0" w:afterAutospacing="0"/>
              <w:jc w:val="center"/>
              <w:rPr>
                <w:rFonts w:asciiTheme="minorHAnsi" w:hAnsiTheme="minorHAnsi" w:cs="GreekC"/>
                <w:b/>
                <w:sz w:val="22"/>
                <w:szCs w:val="22"/>
              </w:rPr>
            </w:pPr>
            <w:r w:rsidRPr="00B1074A">
              <w:rPr>
                <w:rFonts w:asciiTheme="minorHAnsi" w:hAnsiTheme="minorHAnsi" w:cs="GreekC"/>
                <w:b/>
                <w:sz w:val="22"/>
                <w:szCs w:val="22"/>
              </w:rPr>
              <w:t>2013-14</w:t>
            </w:r>
          </w:p>
        </w:tc>
        <w:tc>
          <w:tcPr>
            <w:tcW w:w="3330" w:type="dxa"/>
            <w:gridSpan w:val="3"/>
          </w:tcPr>
          <w:p w14:paraId="555AD85A" w14:textId="77777777" w:rsidR="00DF2FB4" w:rsidRPr="00B1074A" w:rsidRDefault="00DF2FB4" w:rsidP="002D3173">
            <w:pPr>
              <w:pStyle w:val="NormalWeb"/>
              <w:spacing w:before="0" w:beforeAutospacing="0" w:after="0" w:afterAutospacing="0"/>
              <w:jc w:val="center"/>
              <w:rPr>
                <w:rFonts w:asciiTheme="minorHAnsi" w:hAnsiTheme="minorHAnsi" w:cs="GreekC"/>
                <w:b/>
                <w:sz w:val="22"/>
                <w:szCs w:val="22"/>
              </w:rPr>
            </w:pPr>
            <w:r w:rsidRPr="00B1074A">
              <w:rPr>
                <w:rFonts w:asciiTheme="minorHAnsi" w:hAnsiTheme="minorHAnsi" w:cs="GreekC"/>
                <w:b/>
                <w:sz w:val="22"/>
                <w:szCs w:val="22"/>
              </w:rPr>
              <w:t>2014-15</w:t>
            </w:r>
          </w:p>
        </w:tc>
        <w:tc>
          <w:tcPr>
            <w:tcW w:w="2970" w:type="dxa"/>
            <w:gridSpan w:val="3"/>
          </w:tcPr>
          <w:p w14:paraId="192AD43B" w14:textId="77777777" w:rsidR="00DF2FB4" w:rsidRPr="00B1074A" w:rsidRDefault="00DF2FB4" w:rsidP="002D3173">
            <w:pPr>
              <w:pStyle w:val="NormalWeb"/>
              <w:spacing w:before="0" w:beforeAutospacing="0" w:after="0" w:afterAutospacing="0"/>
              <w:jc w:val="center"/>
              <w:rPr>
                <w:rFonts w:asciiTheme="minorHAnsi" w:hAnsiTheme="minorHAnsi" w:cs="GreekC"/>
                <w:b/>
                <w:sz w:val="22"/>
                <w:szCs w:val="22"/>
              </w:rPr>
            </w:pPr>
            <w:r w:rsidRPr="00B1074A">
              <w:rPr>
                <w:rFonts w:asciiTheme="minorHAnsi" w:hAnsiTheme="minorHAnsi" w:cs="GreekC"/>
                <w:b/>
                <w:sz w:val="22"/>
                <w:szCs w:val="22"/>
              </w:rPr>
              <w:t>2015-16</w:t>
            </w:r>
          </w:p>
        </w:tc>
        <w:tc>
          <w:tcPr>
            <w:tcW w:w="3060" w:type="dxa"/>
            <w:gridSpan w:val="3"/>
          </w:tcPr>
          <w:p w14:paraId="1B1CA59D" w14:textId="77777777" w:rsidR="00DF2FB4" w:rsidRPr="00B1074A" w:rsidRDefault="00DF2FB4" w:rsidP="002D3173">
            <w:pPr>
              <w:pStyle w:val="NormalWeb"/>
              <w:spacing w:before="0" w:beforeAutospacing="0" w:after="0" w:afterAutospacing="0"/>
              <w:jc w:val="center"/>
              <w:rPr>
                <w:rFonts w:asciiTheme="minorHAnsi" w:hAnsiTheme="minorHAnsi" w:cs="GreekC"/>
                <w:b/>
                <w:sz w:val="22"/>
                <w:szCs w:val="22"/>
              </w:rPr>
            </w:pPr>
            <w:r>
              <w:rPr>
                <w:rFonts w:asciiTheme="minorHAnsi" w:hAnsiTheme="minorHAnsi" w:cs="GreekC"/>
                <w:b/>
                <w:sz w:val="22"/>
                <w:szCs w:val="22"/>
              </w:rPr>
              <w:t>Overall</w:t>
            </w:r>
          </w:p>
        </w:tc>
      </w:tr>
      <w:tr w:rsidR="00DF2FB4" w14:paraId="6C03A241" w14:textId="77777777" w:rsidTr="00E13E31">
        <w:trPr>
          <w:trHeight w:val="251"/>
        </w:trPr>
        <w:tc>
          <w:tcPr>
            <w:tcW w:w="1100" w:type="dxa"/>
          </w:tcPr>
          <w:p w14:paraId="66F11BAF" w14:textId="77777777" w:rsidR="00DF2FB4" w:rsidRDefault="00DF2FB4" w:rsidP="002D3173">
            <w:pPr>
              <w:pStyle w:val="NormalWeb"/>
              <w:spacing w:before="0" w:beforeAutospacing="0" w:after="0" w:afterAutospacing="0"/>
              <w:rPr>
                <w:rFonts w:ascii="Calibri" w:hAnsi="Calibri"/>
                <w:sz w:val="22"/>
                <w:szCs w:val="22"/>
              </w:rPr>
            </w:pPr>
          </w:p>
        </w:tc>
        <w:tc>
          <w:tcPr>
            <w:tcW w:w="875" w:type="dxa"/>
          </w:tcPr>
          <w:p w14:paraId="4ABFFB97" w14:textId="766971AE" w:rsidR="00DF2FB4" w:rsidRDefault="00E13E31" w:rsidP="002D3173">
            <w:pPr>
              <w:pStyle w:val="NormalWeb"/>
              <w:spacing w:before="0" w:beforeAutospacing="0" w:after="0" w:afterAutospacing="0"/>
              <w:jc w:val="center"/>
              <w:rPr>
                <w:rFonts w:ascii="Calibri" w:hAnsi="Calibri"/>
                <w:sz w:val="22"/>
                <w:szCs w:val="22"/>
              </w:rPr>
            </w:pPr>
            <w:r>
              <w:rPr>
                <w:rFonts w:ascii="Calibri" w:hAnsi="Calibri"/>
                <w:sz w:val="22"/>
                <w:szCs w:val="22"/>
              </w:rPr>
              <w:t>WOOD</w:t>
            </w:r>
          </w:p>
        </w:tc>
        <w:tc>
          <w:tcPr>
            <w:tcW w:w="630" w:type="dxa"/>
          </w:tcPr>
          <w:p w14:paraId="4223A2BA" w14:textId="77777777" w:rsidR="00DF2FB4" w:rsidRDefault="00DF2FB4" w:rsidP="002D3173">
            <w:pPr>
              <w:pStyle w:val="NormalWeb"/>
              <w:spacing w:before="0" w:beforeAutospacing="0" w:after="0" w:afterAutospacing="0"/>
              <w:jc w:val="center"/>
              <w:rPr>
                <w:rFonts w:ascii="Calibri" w:hAnsi="Calibri"/>
                <w:sz w:val="22"/>
                <w:szCs w:val="22"/>
              </w:rPr>
            </w:pPr>
            <w:r>
              <w:rPr>
                <w:rFonts w:ascii="Calibri" w:hAnsi="Calibri"/>
                <w:sz w:val="22"/>
                <w:szCs w:val="22"/>
              </w:rPr>
              <w:t>BC</w:t>
            </w:r>
          </w:p>
        </w:tc>
        <w:tc>
          <w:tcPr>
            <w:tcW w:w="1530" w:type="dxa"/>
          </w:tcPr>
          <w:p w14:paraId="6C268F5C" w14:textId="7F79B612" w:rsidR="00DF2FB4" w:rsidRDefault="00E13E31" w:rsidP="002D3173">
            <w:pPr>
              <w:pStyle w:val="NormalWeb"/>
              <w:spacing w:before="0" w:beforeAutospacing="0" w:after="0" w:afterAutospacing="0"/>
              <w:jc w:val="center"/>
              <w:rPr>
                <w:rFonts w:ascii="Calibri" w:hAnsi="Calibri"/>
                <w:sz w:val="22"/>
                <w:szCs w:val="22"/>
              </w:rPr>
            </w:pPr>
            <w:r>
              <w:rPr>
                <w:rFonts w:ascii="GreekC" w:hAnsi="GreekC" w:cs="GreekC"/>
                <w:sz w:val="22"/>
                <w:szCs w:val="22"/>
              </w:rPr>
              <w:t>∆</w:t>
            </w:r>
            <w:r>
              <w:rPr>
                <w:rFonts w:asciiTheme="minorHAnsi" w:hAnsiTheme="minorHAnsi" w:cs="GreekC"/>
                <w:sz w:val="22"/>
                <w:szCs w:val="22"/>
              </w:rPr>
              <w:t xml:space="preserve"> (WOOD-BC</w:t>
            </w:r>
            <w:r w:rsidRPr="003528D6">
              <w:rPr>
                <w:rFonts w:asciiTheme="minorHAnsi" w:hAnsiTheme="minorHAnsi" w:cs="GreekC"/>
                <w:sz w:val="22"/>
                <w:szCs w:val="22"/>
              </w:rPr>
              <w:t>)</w:t>
            </w:r>
          </w:p>
        </w:tc>
        <w:tc>
          <w:tcPr>
            <w:tcW w:w="1022" w:type="dxa"/>
          </w:tcPr>
          <w:p w14:paraId="1E56BBCD" w14:textId="2E5E8444" w:rsidR="00DF2FB4" w:rsidRDefault="00E13E31" w:rsidP="002D3173">
            <w:pPr>
              <w:pStyle w:val="NormalWeb"/>
              <w:spacing w:before="0" w:beforeAutospacing="0" w:after="0" w:afterAutospacing="0"/>
              <w:jc w:val="center"/>
              <w:rPr>
                <w:rFonts w:ascii="Calibri" w:hAnsi="Calibri"/>
                <w:sz w:val="22"/>
                <w:szCs w:val="22"/>
              </w:rPr>
            </w:pPr>
            <w:r>
              <w:rPr>
                <w:rFonts w:ascii="Calibri" w:hAnsi="Calibri"/>
                <w:sz w:val="22"/>
                <w:szCs w:val="22"/>
              </w:rPr>
              <w:t>WOOD</w:t>
            </w:r>
          </w:p>
        </w:tc>
        <w:tc>
          <w:tcPr>
            <w:tcW w:w="778" w:type="dxa"/>
          </w:tcPr>
          <w:p w14:paraId="006F7939" w14:textId="77777777" w:rsidR="00DF2FB4" w:rsidRDefault="00DF2FB4" w:rsidP="002D3173">
            <w:pPr>
              <w:pStyle w:val="NormalWeb"/>
              <w:spacing w:before="0" w:beforeAutospacing="0" w:after="0" w:afterAutospacing="0"/>
              <w:jc w:val="center"/>
              <w:rPr>
                <w:rFonts w:ascii="Calibri" w:hAnsi="Calibri"/>
                <w:sz w:val="22"/>
                <w:szCs w:val="22"/>
              </w:rPr>
            </w:pPr>
            <w:r>
              <w:rPr>
                <w:rFonts w:ascii="Calibri" w:hAnsi="Calibri"/>
                <w:sz w:val="22"/>
                <w:szCs w:val="22"/>
              </w:rPr>
              <w:t>BC</w:t>
            </w:r>
          </w:p>
        </w:tc>
        <w:tc>
          <w:tcPr>
            <w:tcW w:w="1530" w:type="dxa"/>
          </w:tcPr>
          <w:p w14:paraId="4F8A39B3" w14:textId="09CB4A7E" w:rsidR="00DF2FB4" w:rsidRDefault="00DF2FB4" w:rsidP="002D3173">
            <w:pPr>
              <w:pStyle w:val="NormalWeb"/>
              <w:spacing w:before="0" w:beforeAutospacing="0" w:after="0" w:afterAutospacing="0"/>
              <w:jc w:val="center"/>
              <w:rPr>
                <w:rFonts w:ascii="Calibri" w:hAnsi="Calibri"/>
                <w:sz w:val="22"/>
                <w:szCs w:val="22"/>
              </w:rPr>
            </w:pPr>
            <w:r>
              <w:rPr>
                <w:rFonts w:ascii="GreekC" w:hAnsi="GreekC" w:cs="GreekC"/>
                <w:sz w:val="22"/>
                <w:szCs w:val="22"/>
              </w:rPr>
              <w:t>∆</w:t>
            </w:r>
            <w:r>
              <w:rPr>
                <w:rFonts w:asciiTheme="minorHAnsi" w:hAnsiTheme="minorHAnsi" w:cs="GreekC"/>
                <w:sz w:val="22"/>
                <w:szCs w:val="22"/>
              </w:rPr>
              <w:t xml:space="preserve"> (</w:t>
            </w:r>
            <w:r w:rsidR="00E13E31">
              <w:rPr>
                <w:rFonts w:asciiTheme="minorHAnsi" w:hAnsiTheme="minorHAnsi" w:cs="GreekC"/>
                <w:sz w:val="22"/>
                <w:szCs w:val="22"/>
              </w:rPr>
              <w:t>WOOD</w:t>
            </w:r>
            <w:r>
              <w:rPr>
                <w:rFonts w:asciiTheme="minorHAnsi" w:hAnsiTheme="minorHAnsi" w:cs="GreekC"/>
                <w:sz w:val="22"/>
                <w:szCs w:val="22"/>
              </w:rPr>
              <w:t>-BC</w:t>
            </w:r>
            <w:r w:rsidRPr="003528D6">
              <w:rPr>
                <w:rFonts w:asciiTheme="minorHAnsi" w:hAnsiTheme="minorHAnsi" w:cs="GreekC"/>
                <w:sz w:val="22"/>
                <w:szCs w:val="22"/>
              </w:rPr>
              <w:t>)</w:t>
            </w:r>
          </w:p>
        </w:tc>
        <w:tc>
          <w:tcPr>
            <w:tcW w:w="839" w:type="dxa"/>
          </w:tcPr>
          <w:p w14:paraId="04D47880" w14:textId="1F96BED3" w:rsidR="00DF2FB4" w:rsidRDefault="00E13E31" w:rsidP="002D3173">
            <w:pPr>
              <w:pStyle w:val="NormalWeb"/>
              <w:spacing w:before="0" w:beforeAutospacing="0" w:after="0" w:afterAutospacing="0"/>
              <w:jc w:val="center"/>
              <w:rPr>
                <w:rFonts w:ascii="Calibri" w:hAnsi="Calibri"/>
                <w:sz w:val="22"/>
                <w:szCs w:val="22"/>
              </w:rPr>
            </w:pPr>
            <w:r>
              <w:rPr>
                <w:rFonts w:ascii="Calibri" w:hAnsi="Calibri"/>
                <w:sz w:val="22"/>
                <w:szCs w:val="22"/>
              </w:rPr>
              <w:t>WOOD</w:t>
            </w:r>
          </w:p>
        </w:tc>
        <w:tc>
          <w:tcPr>
            <w:tcW w:w="598" w:type="dxa"/>
          </w:tcPr>
          <w:p w14:paraId="661F77BA" w14:textId="77777777" w:rsidR="00DF2FB4" w:rsidRDefault="00DF2FB4" w:rsidP="002D3173">
            <w:pPr>
              <w:pStyle w:val="NormalWeb"/>
              <w:spacing w:before="0" w:after="0"/>
              <w:jc w:val="center"/>
              <w:rPr>
                <w:rFonts w:ascii="Calibri" w:hAnsi="Calibri"/>
                <w:sz w:val="22"/>
                <w:szCs w:val="22"/>
              </w:rPr>
            </w:pPr>
            <w:r>
              <w:rPr>
                <w:rFonts w:ascii="Calibri" w:hAnsi="Calibri"/>
                <w:sz w:val="22"/>
                <w:szCs w:val="22"/>
              </w:rPr>
              <w:t>BC</w:t>
            </w:r>
          </w:p>
        </w:tc>
        <w:tc>
          <w:tcPr>
            <w:tcW w:w="1533" w:type="dxa"/>
          </w:tcPr>
          <w:p w14:paraId="6041015F" w14:textId="69E165AC" w:rsidR="00DF2FB4" w:rsidRDefault="00DF2FB4" w:rsidP="002D3173">
            <w:pPr>
              <w:pStyle w:val="NormalWeb"/>
              <w:spacing w:before="0" w:after="0"/>
              <w:jc w:val="center"/>
              <w:rPr>
                <w:rFonts w:ascii="Calibri" w:hAnsi="Calibri"/>
                <w:sz w:val="22"/>
                <w:szCs w:val="22"/>
              </w:rPr>
            </w:pPr>
            <w:r>
              <w:rPr>
                <w:rFonts w:ascii="GreekC" w:hAnsi="GreekC" w:cs="GreekC"/>
                <w:sz w:val="22"/>
                <w:szCs w:val="22"/>
              </w:rPr>
              <w:t>∆</w:t>
            </w:r>
            <w:r>
              <w:rPr>
                <w:rFonts w:asciiTheme="minorHAnsi" w:hAnsiTheme="minorHAnsi" w:cs="GreekC"/>
                <w:sz w:val="22"/>
                <w:szCs w:val="22"/>
              </w:rPr>
              <w:t xml:space="preserve"> (</w:t>
            </w:r>
            <w:r w:rsidR="00E13E31">
              <w:rPr>
                <w:rFonts w:asciiTheme="minorHAnsi" w:hAnsiTheme="minorHAnsi" w:cs="GreekC"/>
                <w:sz w:val="22"/>
                <w:szCs w:val="22"/>
              </w:rPr>
              <w:t>WOOD</w:t>
            </w:r>
            <w:r>
              <w:rPr>
                <w:rFonts w:asciiTheme="minorHAnsi" w:hAnsiTheme="minorHAnsi" w:cs="GreekC"/>
                <w:sz w:val="22"/>
                <w:szCs w:val="22"/>
              </w:rPr>
              <w:t>-BC</w:t>
            </w:r>
            <w:r w:rsidRPr="003528D6">
              <w:rPr>
                <w:rFonts w:asciiTheme="minorHAnsi" w:hAnsiTheme="minorHAnsi" w:cs="GreekC"/>
                <w:sz w:val="22"/>
                <w:szCs w:val="22"/>
              </w:rPr>
              <w:t>)</w:t>
            </w:r>
          </w:p>
        </w:tc>
        <w:tc>
          <w:tcPr>
            <w:tcW w:w="839" w:type="dxa"/>
          </w:tcPr>
          <w:p w14:paraId="38DE7B72" w14:textId="1C97FEB8" w:rsidR="00DF2FB4" w:rsidRDefault="00E13E31" w:rsidP="002D3173">
            <w:pPr>
              <w:pStyle w:val="NormalWeb"/>
              <w:spacing w:before="0" w:beforeAutospacing="0" w:after="0" w:afterAutospacing="0"/>
              <w:jc w:val="center"/>
              <w:rPr>
                <w:rFonts w:ascii="GreekC" w:hAnsi="GreekC" w:cs="GreekC"/>
                <w:sz w:val="22"/>
                <w:szCs w:val="22"/>
              </w:rPr>
            </w:pPr>
            <w:r>
              <w:rPr>
                <w:rFonts w:ascii="Calibri" w:hAnsi="Calibri"/>
                <w:sz w:val="22"/>
                <w:szCs w:val="22"/>
              </w:rPr>
              <w:t>WOOD</w:t>
            </w:r>
          </w:p>
        </w:tc>
        <w:tc>
          <w:tcPr>
            <w:tcW w:w="688" w:type="dxa"/>
          </w:tcPr>
          <w:p w14:paraId="4A328766" w14:textId="77777777" w:rsidR="00DF2FB4" w:rsidRDefault="00DF2FB4" w:rsidP="002D3173">
            <w:pPr>
              <w:pStyle w:val="NormalWeb"/>
              <w:spacing w:before="0" w:beforeAutospacing="0" w:after="0" w:afterAutospacing="0"/>
              <w:jc w:val="center"/>
              <w:rPr>
                <w:rFonts w:ascii="GreekC" w:hAnsi="GreekC" w:cs="GreekC"/>
                <w:sz w:val="22"/>
                <w:szCs w:val="22"/>
              </w:rPr>
            </w:pPr>
            <w:r>
              <w:rPr>
                <w:rFonts w:ascii="Calibri" w:hAnsi="Calibri"/>
                <w:sz w:val="22"/>
                <w:szCs w:val="22"/>
              </w:rPr>
              <w:t>BC</w:t>
            </w:r>
          </w:p>
        </w:tc>
        <w:tc>
          <w:tcPr>
            <w:tcW w:w="1533" w:type="dxa"/>
          </w:tcPr>
          <w:p w14:paraId="0F813CBC" w14:textId="1F2335A7" w:rsidR="00DF2FB4" w:rsidRDefault="00DF2FB4" w:rsidP="002D3173">
            <w:pPr>
              <w:pStyle w:val="NormalWeb"/>
              <w:spacing w:before="0" w:beforeAutospacing="0" w:after="0" w:afterAutospacing="0"/>
              <w:jc w:val="center"/>
              <w:rPr>
                <w:rFonts w:ascii="GreekC" w:hAnsi="GreekC" w:cs="GreekC"/>
                <w:sz w:val="22"/>
                <w:szCs w:val="22"/>
              </w:rPr>
            </w:pPr>
            <w:r>
              <w:rPr>
                <w:rFonts w:ascii="GreekC" w:hAnsi="GreekC" w:cs="GreekC"/>
                <w:sz w:val="22"/>
                <w:szCs w:val="22"/>
              </w:rPr>
              <w:t>∆</w:t>
            </w:r>
            <w:r>
              <w:rPr>
                <w:rFonts w:asciiTheme="minorHAnsi" w:hAnsiTheme="minorHAnsi" w:cs="GreekC"/>
                <w:sz w:val="22"/>
                <w:szCs w:val="22"/>
              </w:rPr>
              <w:t xml:space="preserve"> (</w:t>
            </w:r>
            <w:r w:rsidR="00E13E31">
              <w:rPr>
                <w:rFonts w:asciiTheme="minorHAnsi" w:hAnsiTheme="minorHAnsi" w:cs="GreekC"/>
                <w:sz w:val="22"/>
                <w:szCs w:val="22"/>
              </w:rPr>
              <w:t>WOOD</w:t>
            </w:r>
            <w:r>
              <w:rPr>
                <w:rFonts w:asciiTheme="minorHAnsi" w:hAnsiTheme="minorHAnsi" w:cs="GreekC"/>
                <w:sz w:val="22"/>
                <w:szCs w:val="22"/>
              </w:rPr>
              <w:t>-BC</w:t>
            </w:r>
            <w:r w:rsidRPr="003528D6">
              <w:rPr>
                <w:rFonts w:asciiTheme="minorHAnsi" w:hAnsiTheme="minorHAnsi" w:cs="GreekC"/>
                <w:sz w:val="22"/>
                <w:szCs w:val="22"/>
              </w:rPr>
              <w:t>)</w:t>
            </w:r>
          </w:p>
        </w:tc>
      </w:tr>
      <w:tr w:rsidR="00DF2FB4" w14:paraId="4E648DED" w14:textId="77777777" w:rsidTr="00E13E31">
        <w:tc>
          <w:tcPr>
            <w:tcW w:w="1100" w:type="dxa"/>
          </w:tcPr>
          <w:p w14:paraId="62748D06" w14:textId="77777777" w:rsidR="00DF2FB4" w:rsidRDefault="00DF2FB4" w:rsidP="002D3173">
            <w:pPr>
              <w:pStyle w:val="NormalWeb"/>
              <w:spacing w:before="0" w:beforeAutospacing="0" w:after="0" w:afterAutospacing="0"/>
              <w:rPr>
                <w:rFonts w:ascii="Calibri" w:hAnsi="Calibri"/>
                <w:sz w:val="22"/>
                <w:szCs w:val="22"/>
              </w:rPr>
            </w:pPr>
            <w:r>
              <w:rPr>
                <w:rFonts w:ascii="Calibri" w:hAnsi="Calibri"/>
                <w:sz w:val="22"/>
                <w:szCs w:val="22"/>
              </w:rPr>
              <w:t>Retention</w:t>
            </w:r>
          </w:p>
        </w:tc>
        <w:tc>
          <w:tcPr>
            <w:tcW w:w="875" w:type="dxa"/>
          </w:tcPr>
          <w:p w14:paraId="2C53114C" w14:textId="6F0240AA" w:rsidR="00DF2FB4" w:rsidRDefault="00E13E31" w:rsidP="002D3173">
            <w:pPr>
              <w:pStyle w:val="NormalWeb"/>
              <w:spacing w:before="0" w:beforeAutospacing="0" w:after="0" w:afterAutospacing="0"/>
              <w:jc w:val="center"/>
              <w:rPr>
                <w:rFonts w:ascii="Calibri" w:hAnsi="Calibri"/>
                <w:sz w:val="22"/>
                <w:szCs w:val="22"/>
              </w:rPr>
            </w:pPr>
            <w:r>
              <w:rPr>
                <w:rFonts w:ascii="Calibri" w:hAnsi="Calibri"/>
                <w:sz w:val="22"/>
                <w:szCs w:val="22"/>
              </w:rPr>
              <w:t>92</w:t>
            </w:r>
            <w:r w:rsidR="00DF2FB4">
              <w:rPr>
                <w:rFonts w:ascii="Calibri" w:hAnsi="Calibri"/>
                <w:sz w:val="22"/>
                <w:szCs w:val="22"/>
              </w:rPr>
              <w:t>%</w:t>
            </w:r>
          </w:p>
        </w:tc>
        <w:tc>
          <w:tcPr>
            <w:tcW w:w="630" w:type="dxa"/>
          </w:tcPr>
          <w:p w14:paraId="09CB5C97" w14:textId="77777777" w:rsidR="00DF2FB4" w:rsidRDefault="00DF2FB4" w:rsidP="002D3173">
            <w:pPr>
              <w:pStyle w:val="NormalWeb"/>
              <w:spacing w:before="0" w:beforeAutospacing="0" w:after="0" w:afterAutospacing="0"/>
              <w:jc w:val="center"/>
              <w:rPr>
                <w:rFonts w:ascii="Calibri" w:hAnsi="Calibri"/>
                <w:sz w:val="22"/>
                <w:szCs w:val="22"/>
              </w:rPr>
            </w:pPr>
            <w:r>
              <w:rPr>
                <w:rFonts w:ascii="Calibri" w:hAnsi="Calibri"/>
                <w:sz w:val="22"/>
                <w:szCs w:val="22"/>
              </w:rPr>
              <w:t>87%</w:t>
            </w:r>
          </w:p>
        </w:tc>
        <w:tc>
          <w:tcPr>
            <w:tcW w:w="1530" w:type="dxa"/>
          </w:tcPr>
          <w:p w14:paraId="59ABC760" w14:textId="64B591D1" w:rsidR="00DF2FB4" w:rsidRDefault="00E13E31" w:rsidP="002D3173">
            <w:pPr>
              <w:pStyle w:val="NormalWeb"/>
              <w:spacing w:before="0" w:beforeAutospacing="0" w:after="0" w:afterAutospacing="0"/>
              <w:jc w:val="center"/>
              <w:rPr>
                <w:rFonts w:ascii="Calibri" w:hAnsi="Calibri"/>
                <w:sz w:val="22"/>
                <w:szCs w:val="22"/>
              </w:rPr>
            </w:pPr>
            <w:r>
              <w:rPr>
                <w:rFonts w:ascii="Calibri" w:hAnsi="Calibri"/>
                <w:sz w:val="22"/>
                <w:szCs w:val="22"/>
              </w:rPr>
              <w:t>+5</w:t>
            </w:r>
            <w:r w:rsidR="00DF2FB4">
              <w:rPr>
                <w:rFonts w:ascii="Calibri" w:hAnsi="Calibri"/>
                <w:sz w:val="22"/>
                <w:szCs w:val="22"/>
              </w:rPr>
              <w:t>%</w:t>
            </w:r>
          </w:p>
        </w:tc>
        <w:tc>
          <w:tcPr>
            <w:tcW w:w="1022" w:type="dxa"/>
          </w:tcPr>
          <w:p w14:paraId="2E0C8265" w14:textId="57164888" w:rsidR="00DF2FB4" w:rsidRDefault="00E13E31" w:rsidP="002D3173">
            <w:pPr>
              <w:pStyle w:val="NormalWeb"/>
              <w:spacing w:before="0" w:beforeAutospacing="0" w:after="0" w:afterAutospacing="0"/>
              <w:jc w:val="center"/>
              <w:rPr>
                <w:rFonts w:ascii="Calibri" w:hAnsi="Calibri"/>
                <w:sz w:val="22"/>
                <w:szCs w:val="22"/>
              </w:rPr>
            </w:pPr>
            <w:r>
              <w:rPr>
                <w:rFonts w:ascii="Calibri" w:hAnsi="Calibri"/>
                <w:sz w:val="22"/>
                <w:szCs w:val="22"/>
              </w:rPr>
              <w:t>84</w:t>
            </w:r>
            <w:r w:rsidR="00DF2FB4">
              <w:rPr>
                <w:rFonts w:ascii="Calibri" w:hAnsi="Calibri"/>
                <w:sz w:val="22"/>
                <w:szCs w:val="22"/>
              </w:rPr>
              <w:t>%</w:t>
            </w:r>
          </w:p>
        </w:tc>
        <w:tc>
          <w:tcPr>
            <w:tcW w:w="778" w:type="dxa"/>
          </w:tcPr>
          <w:p w14:paraId="30F33256" w14:textId="77777777" w:rsidR="00DF2FB4" w:rsidRDefault="00DF2FB4" w:rsidP="002D3173">
            <w:pPr>
              <w:pStyle w:val="NormalWeb"/>
              <w:spacing w:before="0" w:beforeAutospacing="0" w:after="0" w:afterAutospacing="0"/>
              <w:jc w:val="center"/>
              <w:rPr>
                <w:rFonts w:ascii="Calibri" w:hAnsi="Calibri"/>
                <w:sz w:val="22"/>
                <w:szCs w:val="22"/>
              </w:rPr>
            </w:pPr>
            <w:r>
              <w:rPr>
                <w:rFonts w:ascii="Calibri" w:hAnsi="Calibri"/>
                <w:sz w:val="22"/>
                <w:szCs w:val="22"/>
              </w:rPr>
              <w:t>88%</w:t>
            </w:r>
          </w:p>
        </w:tc>
        <w:tc>
          <w:tcPr>
            <w:tcW w:w="1530" w:type="dxa"/>
          </w:tcPr>
          <w:p w14:paraId="7CDED851" w14:textId="1EA45847" w:rsidR="00DF2FB4" w:rsidRDefault="00E13E31" w:rsidP="002D3173">
            <w:pPr>
              <w:pStyle w:val="NormalWeb"/>
              <w:spacing w:before="0" w:beforeAutospacing="0" w:after="0" w:afterAutospacing="0"/>
              <w:jc w:val="center"/>
              <w:rPr>
                <w:rFonts w:ascii="Calibri" w:hAnsi="Calibri"/>
                <w:sz w:val="22"/>
                <w:szCs w:val="22"/>
              </w:rPr>
            </w:pPr>
            <w:r>
              <w:rPr>
                <w:rFonts w:ascii="Calibri" w:hAnsi="Calibri"/>
                <w:sz w:val="22"/>
                <w:szCs w:val="22"/>
              </w:rPr>
              <w:t>+</w:t>
            </w:r>
            <w:r w:rsidR="00DF2FB4">
              <w:rPr>
                <w:rFonts w:ascii="Calibri" w:hAnsi="Calibri"/>
                <w:sz w:val="22"/>
                <w:szCs w:val="22"/>
              </w:rPr>
              <w:t>4%</w:t>
            </w:r>
          </w:p>
        </w:tc>
        <w:tc>
          <w:tcPr>
            <w:tcW w:w="839" w:type="dxa"/>
          </w:tcPr>
          <w:p w14:paraId="0C1D9BC8" w14:textId="6A061B96" w:rsidR="00DF2FB4" w:rsidRDefault="00E13E31" w:rsidP="002D3173">
            <w:pPr>
              <w:pStyle w:val="NormalWeb"/>
              <w:spacing w:before="0" w:beforeAutospacing="0" w:after="0" w:afterAutospacing="0"/>
              <w:jc w:val="center"/>
              <w:rPr>
                <w:rFonts w:ascii="Calibri" w:hAnsi="Calibri"/>
                <w:sz w:val="22"/>
                <w:szCs w:val="22"/>
              </w:rPr>
            </w:pPr>
            <w:r>
              <w:rPr>
                <w:rFonts w:ascii="Calibri" w:hAnsi="Calibri"/>
                <w:sz w:val="22"/>
                <w:szCs w:val="22"/>
              </w:rPr>
              <w:t>95</w:t>
            </w:r>
            <w:r w:rsidR="00DF2FB4">
              <w:rPr>
                <w:rFonts w:ascii="Calibri" w:hAnsi="Calibri"/>
                <w:sz w:val="22"/>
                <w:szCs w:val="22"/>
              </w:rPr>
              <w:t>%</w:t>
            </w:r>
          </w:p>
        </w:tc>
        <w:tc>
          <w:tcPr>
            <w:tcW w:w="598" w:type="dxa"/>
          </w:tcPr>
          <w:p w14:paraId="66EE00F9" w14:textId="77777777" w:rsidR="00DF2FB4" w:rsidRDefault="00DF2FB4" w:rsidP="002D3173">
            <w:pPr>
              <w:pStyle w:val="NormalWeb"/>
              <w:spacing w:before="0" w:after="0"/>
              <w:jc w:val="center"/>
              <w:rPr>
                <w:rFonts w:ascii="Calibri" w:hAnsi="Calibri"/>
                <w:sz w:val="22"/>
                <w:szCs w:val="22"/>
              </w:rPr>
            </w:pPr>
            <w:r>
              <w:rPr>
                <w:rFonts w:ascii="Calibri" w:hAnsi="Calibri"/>
                <w:sz w:val="22"/>
                <w:szCs w:val="22"/>
              </w:rPr>
              <w:t>88%</w:t>
            </w:r>
          </w:p>
        </w:tc>
        <w:tc>
          <w:tcPr>
            <w:tcW w:w="1533" w:type="dxa"/>
          </w:tcPr>
          <w:p w14:paraId="53A84EEF" w14:textId="6D84DF19" w:rsidR="00DF2FB4" w:rsidRDefault="00E13E31" w:rsidP="002D3173">
            <w:pPr>
              <w:pStyle w:val="NormalWeb"/>
              <w:spacing w:before="0" w:after="0"/>
              <w:jc w:val="center"/>
              <w:rPr>
                <w:rFonts w:ascii="Calibri" w:hAnsi="Calibri"/>
                <w:sz w:val="22"/>
                <w:szCs w:val="22"/>
              </w:rPr>
            </w:pPr>
            <w:r>
              <w:rPr>
                <w:rFonts w:ascii="Calibri" w:hAnsi="Calibri"/>
                <w:sz w:val="22"/>
                <w:szCs w:val="22"/>
              </w:rPr>
              <w:t>+7</w:t>
            </w:r>
            <w:r w:rsidR="00DF2FB4">
              <w:rPr>
                <w:rFonts w:ascii="Calibri" w:hAnsi="Calibri"/>
                <w:sz w:val="22"/>
                <w:szCs w:val="22"/>
              </w:rPr>
              <w:t>%</w:t>
            </w:r>
          </w:p>
        </w:tc>
        <w:tc>
          <w:tcPr>
            <w:tcW w:w="839" w:type="dxa"/>
          </w:tcPr>
          <w:p w14:paraId="7AE9180A" w14:textId="6FD0F573" w:rsidR="00DF2FB4" w:rsidRDefault="00E13E31" w:rsidP="002D3173">
            <w:pPr>
              <w:pStyle w:val="NormalWeb"/>
              <w:spacing w:before="0" w:beforeAutospacing="0" w:after="0" w:afterAutospacing="0"/>
              <w:jc w:val="center"/>
              <w:rPr>
                <w:rFonts w:ascii="Calibri" w:hAnsi="Calibri"/>
                <w:sz w:val="22"/>
                <w:szCs w:val="22"/>
              </w:rPr>
            </w:pPr>
            <w:r>
              <w:rPr>
                <w:rFonts w:ascii="Calibri" w:hAnsi="Calibri"/>
                <w:sz w:val="22"/>
                <w:szCs w:val="22"/>
              </w:rPr>
              <w:t>88</w:t>
            </w:r>
            <w:r w:rsidR="00DF2FB4">
              <w:rPr>
                <w:rFonts w:ascii="Calibri" w:hAnsi="Calibri"/>
                <w:sz w:val="22"/>
                <w:szCs w:val="22"/>
              </w:rPr>
              <w:t>%</w:t>
            </w:r>
          </w:p>
        </w:tc>
        <w:tc>
          <w:tcPr>
            <w:tcW w:w="688" w:type="dxa"/>
          </w:tcPr>
          <w:p w14:paraId="5B4C2314" w14:textId="77777777" w:rsidR="00DF2FB4" w:rsidRDefault="00DF2FB4" w:rsidP="002D3173">
            <w:pPr>
              <w:pStyle w:val="NormalWeb"/>
              <w:spacing w:before="0" w:beforeAutospacing="0" w:after="0" w:afterAutospacing="0"/>
              <w:jc w:val="center"/>
              <w:rPr>
                <w:rFonts w:ascii="Calibri" w:hAnsi="Calibri"/>
                <w:sz w:val="22"/>
                <w:szCs w:val="22"/>
              </w:rPr>
            </w:pPr>
            <w:r>
              <w:rPr>
                <w:rFonts w:ascii="Calibri" w:hAnsi="Calibri"/>
                <w:sz w:val="22"/>
                <w:szCs w:val="22"/>
              </w:rPr>
              <w:t>85%</w:t>
            </w:r>
          </w:p>
        </w:tc>
        <w:tc>
          <w:tcPr>
            <w:tcW w:w="1533" w:type="dxa"/>
          </w:tcPr>
          <w:p w14:paraId="12EAA264" w14:textId="1A5BCF49" w:rsidR="00DF2FB4" w:rsidRDefault="00E13E31" w:rsidP="002D3173">
            <w:pPr>
              <w:pStyle w:val="NormalWeb"/>
              <w:spacing w:before="0" w:beforeAutospacing="0" w:after="0" w:afterAutospacing="0"/>
              <w:jc w:val="center"/>
              <w:rPr>
                <w:rFonts w:ascii="Calibri" w:hAnsi="Calibri"/>
                <w:sz w:val="22"/>
                <w:szCs w:val="22"/>
              </w:rPr>
            </w:pPr>
            <w:r>
              <w:rPr>
                <w:rFonts w:ascii="Calibri" w:hAnsi="Calibri"/>
                <w:sz w:val="22"/>
                <w:szCs w:val="22"/>
              </w:rPr>
              <w:t>+3</w:t>
            </w:r>
            <w:r w:rsidR="00DF2FB4">
              <w:rPr>
                <w:rFonts w:ascii="Calibri" w:hAnsi="Calibri"/>
                <w:sz w:val="22"/>
                <w:szCs w:val="22"/>
              </w:rPr>
              <w:t>%</w:t>
            </w:r>
          </w:p>
        </w:tc>
      </w:tr>
      <w:tr w:rsidR="00DF2FB4" w14:paraId="1D70ACAC" w14:textId="77777777" w:rsidTr="00E13E31">
        <w:tc>
          <w:tcPr>
            <w:tcW w:w="1100" w:type="dxa"/>
          </w:tcPr>
          <w:p w14:paraId="02A58E66" w14:textId="77777777" w:rsidR="00DF2FB4" w:rsidRDefault="00DF2FB4" w:rsidP="002D3173">
            <w:pPr>
              <w:pStyle w:val="NormalWeb"/>
              <w:spacing w:before="0" w:beforeAutospacing="0" w:after="0" w:afterAutospacing="0"/>
              <w:rPr>
                <w:rFonts w:ascii="Calibri" w:hAnsi="Calibri"/>
                <w:sz w:val="22"/>
                <w:szCs w:val="22"/>
              </w:rPr>
            </w:pPr>
            <w:r>
              <w:rPr>
                <w:rFonts w:ascii="Calibri" w:hAnsi="Calibri"/>
                <w:sz w:val="22"/>
                <w:szCs w:val="22"/>
              </w:rPr>
              <w:t>Success</w:t>
            </w:r>
          </w:p>
        </w:tc>
        <w:tc>
          <w:tcPr>
            <w:tcW w:w="875" w:type="dxa"/>
          </w:tcPr>
          <w:p w14:paraId="2454959B" w14:textId="35E96EF6" w:rsidR="00DF2FB4" w:rsidRDefault="00E13E31" w:rsidP="002D3173">
            <w:pPr>
              <w:pStyle w:val="NormalWeb"/>
              <w:spacing w:before="0" w:beforeAutospacing="0" w:after="0" w:afterAutospacing="0"/>
              <w:jc w:val="center"/>
              <w:rPr>
                <w:rFonts w:ascii="Calibri" w:hAnsi="Calibri"/>
                <w:sz w:val="22"/>
                <w:szCs w:val="22"/>
              </w:rPr>
            </w:pPr>
            <w:r>
              <w:rPr>
                <w:rFonts w:ascii="Calibri" w:hAnsi="Calibri"/>
                <w:sz w:val="22"/>
                <w:szCs w:val="22"/>
              </w:rPr>
              <w:t>78</w:t>
            </w:r>
            <w:r w:rsidR="00DF2FB4">
              <w:rPr>
                <w:rFonts w:ascii="Calibri" w:hAnsi="Calibri"/>
                <w:sz w:val="22"/>
                <w:szCs w:val="22"/>
              </w:rPr>
              <w:t>%</w:t>
            </w:r>
          </w:p>
        </w:tc>
        <w:tc>
          <w:tcPr>
            <w:tcW w:w="630" w:type="dxa"/>
          </w:tcPr>
          <w:p w14:paraId="5BFC17C7" w14:textId="77777777" w:rsidR="00DF2FB4" w:rsidRDefault="00DF2FB4" w:rsidP="002D3173">
            <w:pPr>
              <w:pStyle w:val="NormalWeb"/>
              <w:spacing w:before="0" w:beforeAutospacing="0" w:after="0" w:afterAutospacing="0"/>
              <w:jc w:val="center"/>
              <w:rPr>
                <w:rFonts w:ascii="Calibri" w:hAnsi="Calibri"/>
                <w:sz w:val="22"/>
                <w:szCs w:val="22"/>
              </w:rPr>
            </w:pPr>
            <w:r>
              <w:rPr>
                <w:rFonts w:ascii="Calibri" w:hAnsi="Calibri"/>
                <w:sz w:val="22"/>
                <w:szCs w:val="22"/>
              </w:rPr>
              <w:t>70%</w:t>
            </w:r>
          </w:p>
        </w:tc>
        <w:tc>
          <w:tcPr>
            <w:tcW w:w="1530" w:type="dxa"/>
          </w:tcPr>
          <w:p w14:paraId="71290E2C" w14:textId="65AAED3E" w:rsidR="00DF2FB4" w:rsidRDefault="00E13E31" w:rsidP="002D3173">
            <w:pPr>
              <w:pStyle w:val="NormalWeb"/>
              <w:spacing w:before="0" w:beforeAutospacing="0" w:after="0" w:afterAutospacing="0"/>
              <w:jc w:val="center"/>
              <w:rPr>
                <w:rFonts w:ascii="Calibri" w:hAnsi="Calibri"/>
                <w:sz w:val="22"/>
                <w:szCs w:val="22"/>
              </w:rPr>
            </w:pPr>
            <w:r>
              <w:rPr>
                <w:rFonts w:ascii="Calibri" w:hAnsi="Calibri"/>
                <w:sz w:val="22"/>
                <w:szCs w:val="22"/>
              </w:rPr>
              <w:t>+8%</w:t>
            </w:r>
          </w:p>
        </w:tc>
        <w:tc>
          <w:tcPr>
            <w:tcW w:w="1022" w:type="dxa"/>
          </w:tcPr>
          <w:p w14:paraId="4F11A8DE" w14:textId="42AB34CF" w:rsidR="00DF2FB4" w:rsidRDefault="00E13E31" w:rsidP="002D3173">
            <w:pPr>
              <w:pStyle w:val="NormalWeb"/>
              <w:spacing w:before="0" w:beforeAutospacing="0" w:after="0" w:afterAutospacing="0"/>
              <w:jc w:val="center"/>
              <w:rPr>
                <w:rFonts w:ascii="Calibri" w:hAnsi="Calibri"/>
                <w:sz w:val="22"/>
                <w:szCs w:val="22"/>
              </w:rPr>
            </w:pPr>
            <w:r>
              <w:rPr>
                <w:rFonts w:ascii="Calibri" w:hAnsi="Calibri"/>
                <w:sz w:val="22"/>
                <w:szCs w:val="22"/>
              </w:rPr>
              <w:t>75</w:t>
            </w:r>
            <w:r w:rsidR="00DF2FB4">
              <w:rPr>
                <w:rFonts w:ascii="Calibri" w:hAnsi="Calibri"/>
                <w:sz w:val="22"/>
                <w:szCs w:val="22"/>
              </w:rPr>
              <w:t>%</w:t>
            </w:r>
          </w:p>
        </w:tc>
        <w:tc>
          <w:tcPr>
            <w:tcW w:w="778" w:type="dxa"/>
          </w:tcPr>
          <w:p w14:paraId="7388224A" w14:textId="77777777" w:rsidR="00DF2FB4" w:rsidRDefault="00DF2FB4" w:rsidP="002D3173">
            <w:pPr>
              <w:pStyle w:val="NormalWeb"/>
              <w:spacing w:before="0" w:beforeAutospacing="0" w:after="0" w:afterAutospacing="0"/>
              <w:jc w:val="center"/>
              <w:rPr>
                <w:rFonts w:ascii="Calibri" w:hAnsi="Calibri"/>
                <w:sz w:val="22"/>
                <w:szCs w:val="22"/>
              </w:rPr>
            </w:pPr>
            <w:r>
              <w:rPr>
                <w:rFonts w:ascii="Calibri" w:hAnsi="Calibri"/>
                <w:sz w:val="22"/>
                <w:szCs w:val="22"/>
              </w:rPr>
              <w:t>69%</w:t>
            </w:r>
          </w:p>
        </w:tc>
        <w:tc>
          <w:tcPr>
            <w:tcW w:w="1530" w:type="dxa"/>
          </w:tcPr>
          <w:p w14:paraId="48986253" w14:textId="7F0B106E" w:rsidR="00DF2FB4" w:rsidRDefault="00E13E31" w:rsidP="002D3173">
            <w:pPr>
              <w:pStyle w:val="NormalWeb"/>
              <w:spacing w:before="0" w:beforeAutospacing="0" w:after="0" w:afterAutospacing="0"/>
              <w:jc w:val="center"/>
              <w:rPr>
                <w:rFonts w:ascii="Calibri" w:hAnsi="Calibri"/>
                <w:sz w:val="22"/>
                <w:szCs w:val="22"/>
              </w:rPr>
            </w:pPr>
            <w:r>
              <w:rPr>
                <w:rFonts w:ascii="Calibri" w:hAnsi="Calibri"/>
                <w:sz w:val="22"/>
                <w:szCs w:val="22"/>
              </w:rPr>
              <w:t>+6</w:t>
            </w:r>
            <w:r w:rsidR="00DF2FB4">
              <w:rPr>
                <w:rFonts w:ascii="Calibri" w:hAnsi="Calibri"/>
                <w:sz w:val="22"/>
                <w:szCs w:val="22"/>
              </w:rPr>
              <w:t>%</w:t>
            </w:r>
          </w:p>
        </w:tc>
        <w:tc>
          <w:tcPr>
            <w:tcW w:w="839" w:type="dxa"/>
          </w:tcPr>
          <w:p w14:paraId="1900E44B" w14:textId="2A2A3A81" w:rsidR="00DF2FB4" w:rsidRDefault="00E13E31" w:rsidP="002D3173">
            <w:pPr>
              <w:pStyle w:val="NormalWeb"/>
              <w:spacing w:before="0" w:beforeAutospacing="0" w:after="0" w:afterAutospacing="0"/>
              <w:jc w:val="center"/>
              <w:rPr>
                <w:rFonts w:ascii="Calibri" w:hAnsi="Calibri"/>
                <w:sz w:val="22"/>
                <w:szCs w:val="22"/>
              </w:rPr>
            </w:pPr>
            <w:r>
              <w:rPr>
                <w:rFonts w:ascii="Calibri" w:hAnsi="Calibri"/>
                <w:sz w:val="22"/>
                <w:szCs w:val="22"/>
              </w:rPr>
              <w:t>82</w:t>
            </w:r>
            <w:r w:rsidR="00DF2FB4">
              <w:rPr>
                <w:rFonts w:ascii="Calibri" w:hAnsi="Calibri"/>
                <w:sz w:val="22"/>
                <w:szCs w:val="22"/>
              </w:rPr>
              <w:t>%</w:t>
            </w:r>
          </w:p>
        </w:tc>
        <w:tc>
          <w:tcPr>
            <w:tcW w:w="598" w:type="dxa"/>
          </w:tcPr>
          <w:p w14:paraId="5242D86D" w14:textId="77777777" w:rsidR="00DF2FB4" w:rsidRDefault="00DF2FB4" w:rsidP="002D3173">
            <w:pPr>
              <w:pStyle w:val="NormalWeb"/>
              <w:spacing w:before="0" w:after="0"/>
              <w:jc w:val="center"/>
              <w:rPr>
                <w:rFonts w:ascii="Calibri" w:hAnsi="Calibri"/>
                <w:sz w:val="22"/>
                <w:szCs w:val="22"/>
              </w:rPr>
            </w:pPr>
            <w:r>
              <w:rPr>
                <w:rFonts w:ascii="Calibri" w:hAnsi="Calibri"/>
                <w:sz w:val="22"/>
                <w:szCs w:val="22"/>
              </w:rPr>
              <w:t>71%</w:t>
            </w:r>
          </w:p>
        </w:tc>
        <w:tc>
          <w:tcPr>
            <w:tcW w:w="1533" w:type="dxa"/>
          </w:tcPr>
          <w:p w14:paraId="6975BCDD" w14:textId="72AABF67" w:rsidR="00DF2FB4" w:rsidRDefault="00E13E31" w:rsidP="002D3173">
            <w:pPr>
              <w:pStyle w:val="NormalWeb"/>
              <w:spacing w:before="0" w:after="0"/>
              <w:jc w:val="center"/>
              <w:rPr>
                <w:rFonts w:ascii="Calibri" w:hAnsi="Calibri"/>
                <w:sz w:val="22"/>
                <w:szCs w:val="22"/>
              </w:rPr>
            </w:pPr>
            <w:r>
              <w:rPr>
                <w:rFonts w:ascii="Calibri" w:hAnsi="Calibri"/>
                <w:sz w:val="22"/>
                <w:szCs w:val="22"/>
              </w:rPr>
              <w:t>+9%</w:t>
            </w:r>
          </w:p>
        </w:tc>
        <w:tc>
          <w:tcPr>
            <w:tcW w:w="839" w:type="dxa"/>
          </w:tcPr>
          <w:p w14:paraId="64DB605F" w14:textId="5D65581A" w:rsidR="00DF2FB4" w:rsidRDefault="00E13E31" w:rsidP="002D3173">
            <w:pPr>
              <w:pStyle w:val="NormalWeb"/>
              <w:spacing w:before="0" w:beforeAutospacing="0" w:after="0" w:afterAutospacing="0"/>
              <w:jc w:val="center"/>
              <w:rPr>
                <w:rFonts w:ascii="Calibri" w:hAnsi="Calibri"/>
                <w:sz w:val="22"/>
                <w:szCs w:val="22"/>
              </w:rPr>
            </w:pPr>
            <w:r>
              <w:rPr>
                <w:rFonts w:ascii="Calibri" w:hAnsi="Calibri"/>
                <w:sz w:val="22"/>
                <w:szCs w:val="22"/>
              </w:rPr>
              <w:t>76</w:t>
            </w:r>
            <w:r w:rsidR="00DF2FB4">
              <w:rPr>
                <w:rFonts w:ascii="Calibri" w:hAnsi="Calibri"/>
                <w:sz w:val="22"/>
                <w:szCs w:val="22"/>
              </w:rPr>
              <w:t>%</w:t>
            </w:r>
          </w:p>
        </w:tc>
        <w:tc>
          <w:tcPr>
            <w:tcW w:w="688" w:type="dxa"/>
          </w:tcPr>
          <w:p w14:paraId="4F0D008A" w14:textId="77777777" w:rsidR="00DF2FB4" w:rsidRDefault="00DF2FB4" w:rsidP="002D3173">
            <w:pPr>
              <w:pStyle w:val="NormalWeb"/>
              <w:spacing w:before="0" w:beforeAutospacing="0" w:after="0" w:afterAutospacing="0"/>
              <w:jc w:val="center"/>
              <w:rPr>
                <w:rFonts w:ascii="Calibri" w:hAnsi="Calibri"/>
                <w:sz w:val="22"/>
                <w:szCs w:val="22"/>
              </w:rPr>
            </w:pPr>
            <w:r>
              <w:rPr>
                <w:rFonts w:ascii="Calibri" w:hAnsi="Calibri"/>
                <w:sz w:val="22"/>
                <w:szCs w:val="22"/>
              </w:rPr>
              <w:t>68%</w:t>
            </w:r>
          </w:p>
        </w:tc>
        <w:tc>
          <w:tcPr>
            <w:tcW w:w="1533" w:type="dxa"/>
          </w:tcPr>
          <w:p w14:paraId="40DA9AC7" w14:textId="77777777" w:rsidR="00DF2FB4" w:rsidRDefault="00DF2FB4" w:rsidP="002D3173">
            <w:pPr>
              <w:pStyle w:val="NormalWeb"/>
              <w:spacing w:before="0" w:beforeAutospacing="0" w:after="0" w:afterAutospacing="0"/>
              <w:jc w:val="center"/>
              <w:rPr>
                <w:rFonts w:ascii="Calibri" w:hAnsi="Calibri"/>
                <w:sz w:val="22"/>
                <w:szCs w:val="22"/>
              </w:rPr>
            </w:pPr>
            <w:r>
              <w:rPr>
                <w:rFonts w:ascii="Calibri" w:hAnsi="Calibri"/>
                <w:sz w:val="22"/>
                <w:szCs w:val="22"/>
              </w:rPr>
              <w:t>+8%</w:t>
            </w:r>
          </w:p>
        </w:tc>
      </w:tr>
    </w:tbl>
    <w:p w14:paraId="5CC30C93" w14:textId="77777777" w:rsidR="00DF2FB4" w:rsidRDefault="00DF2FB4" w:rsidP="00DF2FB4">
      <w:pPr>
        <w:pStyle w:val="ListParagraph"/>
        <w:spacing w:after="0" w:line="240" w:lineRule="auto"/>
        <w:ind w:left="360"/>
        <w:rPr>
          <w:rFonts w:cstheme="minorHAnsi"/>
        </w:rPr>
      </w:pPr>
    </w:p>
    <w:p w14:paraId="0C7E7E3D" w14:textId="77777777"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14:paraId="0C7E7E3E" w14:textId="77777777" w:rsidR="00E04250" w:rsidRDefault="00E04250" w:rsidP="00E04250">
      <w:pPr>
        <w:spacing w:after="0" w:line="240" w:lineRule="auto"/>
        <w:rPr>
          <w:b/>
          <w:u w:val="single"/>
        </w:rPr>
      </w:pPr>
    </w:p>
    <w:p w14:paraId="0C7E7E3F" w14:textId="77777777"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14:paraId="0C7E7E40" w14:textId="77777777"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14:paraId="0C7E7E41" w14:textId="77777777" w:rsidR="00E04250" w:rsidRDefault="00E04250" w:rsidP="00E04250">
      <w:pPr>
        <w:pStyle w:val="ListParagraph"/>
        <w:spacing w:after="0" w:line="240" w:lineRule="auto"/>
        <w:ind w:left="360"/>
      </w:pPr>
    </w:p>
    <w:p w14:paraId="0C7E7E42" w14:textId="11B1B789"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14:paraId="651E9E06" w14:textId="36778F83" w:rsidR="00805C29" w:rsidRDefault="00805C29" w:rsidP="00805C29">
      <w:pPr>
        <w:spacing w:after="0" w:line="240" w:lineRule="auto"/>
        <w:ind w:left="360"/>
      </w:pPr>
      <w:r>
        <w:t xml:space="preserve">The sole full-time instructor for the WOOD program retired in May 2015.  </w:t>
      </w:r>
      <w:r w:rsidR="00AF6541">
        <w:t>An instructor from the Industrial Drawing program voluntarily taught two section of Wood classes last year as overload in order to</w:t>
      </w:r>
      <w:r w:rsidR="00D52940">
        <w:t xml:space="preserve"> maintain program offerings.</w:t>
      </w:r>
    </w:p>
    <w:p w14:paraId="31E7D440" w14:textId="0712FF32" w:rsidR="008A28B1" w:rsidRPr="00805C29" w:rsidRDefault="008A28B1" w:rsidP="008A28B1">
      <w:pPr>
        <w:spacing w:after="0" w:line="240" w:lineRule="auto"/>
        <w:rPr>
          <w:rFonts w:cstheme="minorHAnsi"/>
        </w:rPr>
      </w:pPr>
    </w:p>
    <w:p w14:paraId="0C7E7E43" w14:textId="77777777" w:rsidR="006340FF"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14:paraId="417A751C" w14:textId="4A0B493F" w:rsidR="008A28B1" w:rsidRDefault="008A28B1" w:rsidP="008A28B1">
      <w:pPr>
        <w:pStyle w:val="ListParagraph"/>
        <w:spacing w:after="0" w:line="240" w:lineRule="auto"/>
        <w:ind w:left="360"/>
        <w:rPr>
          <w:rFonts w:cstheme="minorHAnsi"/>
        </w:rPr>
      </w:pPr>
      <w:r>
        <w:rPr>
          <w:rFonts w:cstheme="minorHAnsi"/>
        </w:rPr>
        <w:t>A pool of qualified adjunct instructors will need to be developed to meet demand for woodworking classes.</w:t>
      </w:r>
    </w:p>
    <w:p w14:paraId="7ED4DFCD" w14:textId="77777777" w:rsidR="008A28B1" w:rsidRPr="00E04250" w:rsidRDefault="008A28B1" w:rsidP="008A28B1">
      <w:pPr>
        <w:pStyle w:val="ListParagraph"/>
        <w:spacing w:after="0" w:line="240" w:lineRule="auto"/>
        <w:ind w:left="360"/>
        <w:rPr>
          <w:rFonts w:cstheme="minorHAnsi"/>
        </w:rPr>
      </w:pPr>
    </w:p>
    <w:p w14:paraId="0C7E7E44" w14:textId="77777777" w:rsidR="006340FF" w:rsidRPr="00E04250"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14:paraId="0C7E7E45" w14:textId="77777777" w:rsidR="0059381F" w:rsidRPr="00E04250" w:rsidRDefault="0059381F" w:rsidP="00E04250">
      <w:pPr>
        <w:pStyle w:val="ListParagraph"/>
        <w:spacing w:after="0" w:line="240" w:lineRule="auto"/>
        <w:ind w:left="0"/>
        <w:rPr>
          <w:b/>
          <w:u w:val="single"/>
        </w:rPr>
      </w:pPr>
    </w:p>
    <w:p w14:paraId="0C7E7E46" w14:textId="77777777"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1" w:history="1">
        <w:r w:rsidR="009A47DB" w:rsidRPr="00514063">
          <w:rPr>
            <w:rStyle w:val="Hyperlink"/>
          </w:rPr>
          <w:t>https://committees.kccd.edu/bc/committee/programreview</w:t>
        </w:r>
      </w:hyperlink>
    </w:p>
    <w:p w14:paraId="0C7E7E47" w14:textId="77777777" w:rsidR="005620FD" w:rsidRDefault="005620FD" w:rsidP="00E04250">
      <w:pPr>
        <w:spacing w:after="0" w:line="240" w:lineRule="auto"/>
        <w:rPr>
          <w:rStyle w:val="Hyperlink"/>
        </w:rPr>
      </w:pPr>
    </w:p>
    <w:p w14:paraId="0C7E7E48" w14:textId="77777777"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14:paraId="0C7E7E49" w14:textId="77777777"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14:paraId="0411003D" w14:textId="1BF7ECFC" w:rsidR="00D52940" w:rsidRDefault="00D52940" w:rsidP="00D52940">
      <w:pPr>
        <w:pStyle w:val="ListParagraph"/>
        <w:spacing w:after="0" w:line="240" w:lineRule="auto"/>
        <w:rPr>
          <w:rFonts w:cstheme="minorHAnsi"/>
        </w:rPr>
      </w:pPr>
      <w:r>
        <w:rPr>
          <w:rFonts w:cstheme="minorHAnsi"/>
        </w:rPr>
        <w:t>The work of the EIT maintenance technician, Tom Moehnke, has been essential in the continuity of the Wood program and to the success of our students.  His expertise in solving problems with equipment and fabrication of classroom equipment saves the department countless hours that could not be utilized in the preparat</w:t>
      </w:r>
      <w:r w:rsidR="006034DE">
        <w:rPr>
          <w:rFonts w:cstheme="minorHAnsi"/>
        </w:rPr>
        <w:t>ion and execution of teaching.  He announced his intention to retire at the end of fall 2016 and his replacement is necessary to minimize the downtime of any equipment in the labs utilized by the EIT faculty and students.</w:t>
      </w:r>
    </w:p>
    <w:p w14:paraId="6C893F4D" w14:textId="77777777" w:rsidR="00D52940" w:rsidRPr="00E04250" w:rsidRDefault="00D52940" w:rsidP="00D52940">
      <w:pPr>
        <w:pStyle w:val="ListParagraph"/>
        <w:spacing w:after="0" w:line="240" w:lineRule="auto"/>
        <w:rPr>
          <w:rFonts w:cstheme="minorHAnsi"/>
        </w:rPr>
      </w:pPr>
    </w:p>
    <w:p w14:paraId="0C7E7E4A" w14:textId="77777777"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14:paraId="0C7E7E4B" w14:textId="77777777" w:rsidR="006340FF" w:rsidRPr="00E04250"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14:paraId="0C7E7E4C" w14:textId="77777777"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14:paraId="0C7E7E4D" w14:textId="77777777" w:rsidR="0063650E" w:rsidRPr="00E04250" w:rsidRDefault="0063650E" w:rsidP="0063650E">
      <w:pPr>
        <w:pStyle w:val="ListParagraph"/>
        <w:spacing w:after="0" w:line="240" w:lineRule="auto"/>
        <w:ind w:left="1080"/>
      </w:pPr>
    </w:p>
    <w:p w14:paraId="0C7E7E4E" w14:textId="77777777"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14:paraId="0C7E7E4F" w14:textId="77777777" w:rsidR="006340FF"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14:paraId="0C7E7E50" w14:textId="77777777" w:rsidR="00BD4AB8"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14:paraId="0C7E7E51" w14:textId="77777777" w:rsidR="0063650E" w:rsidRDefault="0063650E" w:rsidP="00E04250">
      <w:pPr>
        <w:spacing w:after="0" w:line="240" w:lineRule="auto"/>
        <w:rPr>
          <w:rFonts w:cstheme="minorHAnsi"/>
          <w:u w:val="single"/>
        </w:rPr>
      </w:pPr>
    </w:p>
    <w:p w14:paraId="0C7E7E52" w14:textId="77777777"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14:paraId="0C7E7E53" w14:textId="77777777" w:rsidR="0063650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14:paraId="0C7E7E54" w14:textId="77777777"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14:paraId="0C7E7E55" w14:textId="77777777"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14:paraId="0C7E7E56" w14:textId="77777777" w:rsidR="0063650E" w:rsidRPr="00E04250" w:rsidRDefault="0063650E" w:rsidP="00E04250">
      <w:pPr>
        <w:spacing w:after="0" w:line="240" w:lineRule="auto"/>
        <w:rPr>
          <w:rFonts w:cstheme="minorHAnsi"/>
          <w:u w:val="single"/>
        </w:rPr>
      </w:pPr>
    </w:p>
    <w:p w14:paraId="0C7E7E57" w14:textId="77777777"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14:paraId="0C7E7E58" w14:textId="77777777" w:rsidR="00E04250" w:rsidRDefault="00E04250" w:rsidP="00E04250">
      <w:pPr>
        <w:spacing w:after="0" w:line="240" w:lineRule="auto"/>
        <w:rPr>
          <w:b/>
          <w:u w:val="single"/>
        </w:rPr>
      </w:pPr>
    </w:p>
    <w:p w14:paraId="5BB8C7E1" w14:textId="45D913EA" w:rsidR="00407135" w:rsidRDefault="00407135" w:rsidP="00E04250">
      <w:pPr>
        <w:spacing w:after="0" w:line="240" w:lineRule="auto"/>
        <w:rPr>
          <w:b/>
          <w:u w:val="single"/>
        </w:rPr>
      </w:pPr>
    </w:p>
    <w:p w14:paraId="147ACB61" w14:textId="77777777" w:rsidR="00407135" w:rsidRDefault="00407135" w:rsidP="00E04250">
      <w:pPr>
        <w:spacing w:after="0" w:line="240" w:lineRule="auto"/>
        <w:rPr>
          <w:b/>
          <w:u w:val="single"/>
        </w:rPr>
      </w:pPr>
    </w:p>
    <w:p w14:paraId="4B102C49" w14:textId="77777777" w:rsidR="00407135" w:rsidRDefault="00407135" w:rsidP="00E04250">
      <w:pPr>
        <w:spacing w:after="0" w:line="240" w:lineRule="auto"/>
        <w:rPr>
          <w:b/>
          <w:u w:val="single"/>
        </w:rPr>
      </w:pPr>
    </w:p>
    <w:p w14:paraId="0C7E7E59" w14:textId="77777777" w:rsidR="006340FF" w:rsidRPr="00E04250" w:rsidRDefault="00A6058F" w:rsidP="00E04250">
      <w:pPr>
        <w:spacing w:after="0" w:line="240" w:lineRule="auto"/>
      </w:pPr>
      <w:r w:rsidRPr="00E04250">
        <w:rPr>
          <w:b/>
          <w:u w:val="single"/>
        </w:rPr>
        <w:lastRenderedPageBreak/>
        <w:t>V</w:t>
      </w:r>
      <w:r w:rsidR="009D6D50">
        <w:rPr>
          <w:b/>
          <w:u w:val="single"/>
        </w:rPr>
        <w:t>I</w:t>
      </w:r>
      <w:r w:rsidR="006340FF" w:rsidRPr="00E04250">
        <w:rPr>
          <w:b/>
          <w:u w:val="single"/>
        </w:rPr>
        <w:t>. Conclusions and Findings:</w:t>
      </w:r>
      <w:r w:rsidR="006340FF" w:rsidRPr="00E04250">
        <w:t xml:space="preserve"> </w:t>
      </w:r>
    </w:p>
    <w:p w14:paraId="0C7E7E5A" w14:textId="77777777" w:rsidR="006340FF" w:rsidRPr="00E04250"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14:paraId="0C7E7E5B" w14:textId="77777777" w:rsidR="00E04250" w:rsidRDefault="00E04250" w:rsidP="00E04250">
      <w:pPr>
        <w:spacing w:after="0" w:line="240" w:lineRule="auto"/>
        <w:rPr>
          <w:b/>
          <w:sz w:val="20"/>
          <w:szCs w:val="20"/>
          <w:u w:val="single"/>
        </w:rPr>
      </w:pPr>
    </w:p>
    <w:p w14:paraId="0C7E7E5C" w14:textId="1D8DF9F9" w:rsidR="00670745" w:rsidRDefault="00670745" w:rsidP="00E04250">
      <w:pPr>
        <w:spacing w:after="0" w:line="240" w:lineRule="auto"/>
        <w:rPr>
          <w:sz w:val="20"/>
          <w:szCs w:val="20"/>
        </w:rPr>
      </w:pPr>
      <w:bookmarkStart w:id="7" w:name="_GoBack"/>
      <w:bookmarkEnd w:id="7"/>
    </w:p>
    <w:p w14:paraId="0C7E7E5D" w14:textId="77777777" w:rsidR="00670745" w:rsidRDefault="00670745" w:rsidP="00E04250">
      <w:pPr>
        <w:spacing w:after="0" w:line="240" w:lineRule="auto"/>
        <w:rPr>
          <w:b/>
          <w:i/>
          <w:u w:val="single"/>
        </w:rPr>
      </w:pPr>
    </w:p>
    <w:sectPr w:rsidR="00670745" w:rsidSect="00E04250">
      <w:footerReference w:type="default" r:id="rId12"/>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E7E60" w14:textId="77777777" w:rsidR="002D3173" w:rsidRDefault="002D3173">
      <w:pPr>
        <w:spacing w:after="0" w:line="240" w:lineRule="auto"/>
      </w:pPr>
      <w:r>
        <w:separator/>
      </w:r>
    </w:p>
  </w:endnote>
  <w:endnote w:type="continuationSeparator" w:id="0">
    <w:p w14:paraId="0C7E7E61" w14:textId="77777777" w:rsidR="002D3173" w:rsidRDefault="002D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GreekC">
    <w:panose1 w:val="000004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E7E62" w14:textId="77777777" w:rsidR="002D3173" w:rsidRPr="00C73841" w:rsidRDefault="002D3173">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(August 2016, FINAL)</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C773EB" w:rsidRPr="00C773EB">
      <w:rPr>
        <w:rFonts w:asciiTheme="minorHAnsi" w:eastAsiaTheme="majorEastAsia" w:hAnsiTheme="minorHAnsi" w:cstheme="minorHAnsi"/>
        <w:noProof/>
        <w:sz w:val="18"/>
        <w:szCs w:val="18"/>
      </w:rPr>
      <w:t>3</w:t>
    </w:r>
    <w:r w:rsidRPr="00C73841">
      <w:rPr>
        <w:rFonts w:asciiTheme="minorHAnsi" w:eastAsiaTheme="majorEastAsia" w:hAnsiTheme="minorHAnsi" w:cstheme="minorHAnsi"/>
        <w:noProof/>
        <w:sz w:val="18"/>
        <w:szCs w:val="18"/>
      </w:rPr>
      <w:fldChar w:fldCharType="end"/>
    </w:r>
  </w:p>
  <w:p w14:paraId="0C7E7E63" w14:textId="77777777" w:rsidR="002D3173" w:rsidRDefault="002D3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E7E5E" w14:textId="77777777" w:rsidR="002D3173" w:rsidRDefault="002D3173">
      <w:pPr>
        <w:spacing w:after="0" w:line="240" w:lineRule="auto"/>
      </w:pPr>
      <w:r>
        <w:separator/>
      </w:r>
    </w:p>
  </w:footnote>
  <w:footnote w:type="continuationSeparator" w:id="0">
    <w:p w14:paraId="0C7E7E5F" w14:textId="77777777" w:rsidR="002D3173" w:rsidRDefault="002D31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09B059F3"/>
    <w:multiLevelType w:val="hybridMultilevel"/>
    <w:tmpl w:val="2FBA5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80FF8"/>
    <w:multiLevelType w:val="hybridMultilevel"/>
    <w:tmpl w:val="15A48558"/>
    <w:lvl w:ilvl="0" w:tplc="FA3A2F9E">
      <w:start w:val="1"/>
      <w:numFmt w:val="decimal"/>
      <w:lvlText w:val="%1."/>
      <w:lvlJc w:val="left"/>
      <w:pPr>
        <w:ind w:left="720" w:hanging="36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71FB3"/>
    <w:multiLevelType w:val="hybridMultilevel"/>
    <w:tmpl w:val="15A48558"/>
    <w:lvl w:ilvl="0" w:tplc="FA3A2F9E">
      <w:start w:val="1"/>
      <w:numFmt w:val="decimal"/>
      <w:lvlText w:val="%1."/>
      <w:lvlJc w:val="left"/>
      <w:pPr>
        <w:ind w:left="720" w:hanging="36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5469A"/>
    <w:multiLevelType w:val="hybridMultilevel"/>
    <w:tmpl w:val="69DC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B3998"/>
    <w:multiLevelType w:val="hybridMultilevel"/>
    <w:tmpl w:val="1C96F706"/>
    <w:lvl w:ilvl="0" w:tplc="D79C2934">
      <w:start w:val="1"/>
      <w:numFmt w:val="decimal"/>
      <w:lvlText w:val="%1."/>
      <w:lvlJc w:val="left"/>
      <w:pPr>
        <w:ind w:left="720" w:hanging="360"/>
      </w:pPr>
      <w:rPr>
        <w:rFonts w:eastAsia="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8B72C3"/>
    <w:multiLevelType w:val="hybridMultilevel"/>
    <w:tmpl w:val="3E104284"/>
    <w:lvl w:ilvl="0" w:tplc="49443CBA">
      <w:start w:val="1"/>
      <w:numFmt w:val="decimal"/>
      <w:lvlText w:val="%1."/>
      <w:lvlJc w:val="left"/>
      <w:pPr>
        <w:ind w:left="720" w:hanging="360"/>
      </w:pPr>
      <w:rPr>
        <w:rFonts w:eastAsia="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27"/>
  </w:num>
  <w:num w:numId="5">
    <w:abstractNumId w:val="7"/>
  </w:num>
  <w:num w:numId="6">
    <w:abstractNumId w:val="22"/>
  </w:num>
  <w:num w:numId="7">
    <w:abstractNumId w:val="15"/>
  </w:num>
  <w:num w:numId="8">
    <w:abstractNumId w:val="19"/>
  </w:num>
  <w:num w:numId="9">
    <w:abstractNumId w:val="23"/>
  </w:num>
  <w:num w:numId="10">
    <w:abstractNumId w:val="18"/>
  </w:num>
  <w:num w:numId="11">
    <w:abstractNumId w:val="8"/>
  </w:num>
  <w:num w:numId="12">
    <w:abstractNumId w:val="25"/>
  </w:num>
  <w:num w:numId="13">
    <w:abstractNumId w:val="24"/>
  </w:num>
  <w:num w:numId="14">
    <w:abstractNumId w:val="0"/>
  </w:num>
  <w:num w:numId="15">
    <w:abstractNumId w:val="5"/>
  </w:num>
  <w:num w:numId="16">
    <w:abstractNumId w:val="17"/>
  </w:num>
  <w:num w:numId="17">
    <w:abstractNumId w:val="14"/>
  </w:num>
  <w:num w:numId="18">
    <w:abstractNumId w:val="6"/>
  </w:num>
  <w:num w:numId="19">
    <w:abstractNumId w:val="26"/>
  </w:num>
  <w:num w:numId="20">
    <w:abstractNumId w:val="21"/>
  </w:num>
  <w:num w:numId="21">
    <w:abstractNumId w:val="1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3"/>
  </w:num>
  <w:num w:numId="25">
    <w:abstractNumId w:val="4"/>
  </w:num>
  <w:num w:numId="26">
    <w:abstractNumId w:val="16"/>
  </w:num>
  <w:num w:numId="27">
    <w:abstractNumId w:val="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67B5E"/>
    <w:rsid w:val="00075DAB"/>
    <w:rsid w:val="000C57A1"/>
    <w:rsid w:val="000E03F4"/>
    <w:rsid w:val="000F15E7"/>
    <w:rsid w:val="000F3AA2"/>
    <w:rsid w:val="00102476"/>
    <w:rsid w:val="00113E76"/>
    <w:rsid w:val="00160600"/>
    <w:rsid w:val="0019517F"/>
    <w:rsid w:val="001B247D"/>
    <w:rsid w:val="001B7067"/>
    <w:rsid w:val="00233679"/>
    <w:rsid w:val="00242DCD"/>
    <w:rsid w:val="00273F7C"/>
    <w:rsid w:val="002D3173"/>
    <w:rsid w:val="002D3EC0"/>
    <w:rsid w:val="002D7005"/>
    <w:rsid w:val="00396AF3"/>
    <w:rsid w:val="003A5277"/>
    <w:rsid w:val="003D27D1"/>
    <w:rsid w:val="003E6D1F"/>
    <w:rsid w:val="004055E2"/>
    <w:rsid w:val="00407135"/>
    <w:rsid w:val="004145C8"/>
    <w:rsid w:val="00426EA2"/>
    <w:rsid w:val="00483E72"/>
    <w:rsid w:val="00494FE6"/>
    <w:rsid w:val="004A6B61"/>
    <w:rsid w:val="004D7FFA"/>
    <w:rsid w:val="004E25C4"/>
    <w:rsid w:val="004E7D0F"/>
    <w:rsid w:val="00507C0C"/>
    <w:rsid w:val="005209BA"/>
    <w:rsid w:val="00520C6E"/>
    <w:rsid w:val="005620FD"/>
    <w:rsid w:val="00572188"/>
    <w:rsid w:val="005744EB"/>
    <w:rsid w:val="0059381F"/>
    <w:rsid w:val="005B1ECE"/>
    <w:rsid w:val="005E583A"/>
    <w:rsid w:val="006034DE"/>
    <w:rsid w:val="0060746E"/>
    <w:rsid w:val="006340FF"/>
    <w:rsid w:val="0063650E"/>
    <w:rsid w:val="00651A40"/>
    <w:rsid w:val="00670745"/>
    <w:rsid w:val="006A7208"/>
    <w:rsid w:val="006A796C"/>
    <w:rsid w:val="007034C0"/>
    <w:rsid w:val="007A3CDB"/>
    <w:rsid w:val="00805C29"/>
    <w:rsid w:val="008351A3"/>
    <w:rsid w:val="0087586F"/>
    <w:rsid w:val="008835ED"/>
    <w:rsid w:val="008A28B1"/>
    <w:rsid w:val="008B60D9"/>
    <w:rsid w:val="00961586"/>
    <w:rsid w:val="00966171"/>
    <w:rsid w:val="00996020"/>
    <w:rsid w:val="009A47DB"/>
    <w:rsid w:val="009D6D50"/>
    <w:rsid w:val="00A07CDD"/>
    <w:rsid w:val="00A6058F"/>
    <w:rsid w:val="00A70D85"/>
    <w:rsid w:val="00AE05CC"/>
    <w:rsid w:val="00AE06EB"/>
    <w:rsid w:val="00AF6541"/>
    <w:rsid w:val="00B2405F"/>
    <w:rsid w:val="00B40CF2"/>
    <w:rsid w:val="00B4368E"/>
    <w:rsid w:val="00B574C3"/>
    <w:rsid w:val="00B7484A"/>
    <w:rsid w:val="00B85C90"/>
    <w:rsid w:val="00B93A68"/>
    <w:rsid w:val="00B949F8"/>
    <w:rsid w:val="00BD25F6"/>
    <w:rsid w:val="00BD4AB8"/>
    <w:rsid w:val="00BF0F11"/>
    <w:rsid w:val="00C773EB"/>
    <w:rsid w:val="00C952BB"/>
    <w:rsid w:val="00CA5D66"/>
    <w:rsid w:val="00CC5658"/>
    <w:rsid w:val="00CD0C36"/>
    <w:rsid w:val="00CF3D41"/>
    <w:rsid w:val="00CF5417"/>
    <w:rsid w:val="00D062FE"/>
    <w:rsid w:val="00D52940"/>
    <w:rsid w:val="00D90959"/>
    <w:rsid w:val="00DA0A51"/>
    <w:rsid w:val="00DA1872"/>
    <w:rsid w:val="00DF2FB4"/>
    <w:rsid w:val="00E04250"/>
    <w:rsid w:val="00E13E31"/>
    <w:rsid w:val="00E66FCA"/>
    <w:rsid w:val="00E96079"/>
    <w:rsid w:val="00EC1457"/>
    <w:rsid w:val="00F42E95"/>
    <w:rsid w:val="00F66406"/>
    <w:rsid w:val="00F761F9"/>
    <w:rsid w:val="00F81675"/>
    <w:rsid w:val="00F86C2A"/>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7DF5"/>
  <w15:docId w15:val="{99085F79-2B4B-4B60-AC1E-0FBCFF8B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paragraph" w:styleId="NormalWeb">
    <w:name w:val="Normal (Web)"/>
    <w:basedOn w:val="Normal"/>
    <w:uiPriority w:val="99"/>
    <w:unhideWhenUsed/>
    <w:rsid w:val="00DF2FB4"/>
    <w:pPr>
      <w:spacing w:before="100" w:beforeAutospacing="1" w:after="100" w:afterAutospacing="1" w:line="240" w:lineRule="auto"/>
    </w:pPr>
    <w:rPr>
      <w:rFonts w:ascii="Times" w:eastAsiaTheme="minorEastAsia" w:hAnsi="Times" w:cstheme="minorBidi"/>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kccd.edu/bc/committee/programrevie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FB914-3DBC-47A6-98DF-94DE2E80AFCD}">
  <ds:schemaRefs>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47FAA419-A590-494C-AD45-82562060A5CA}"/>
</file>

<file path=customXml/itemProps3.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4.xml><?xml version="1.0" encoding="utf-8"?>
<ds:datastoreItem xmlns:ds="http://schemas.openxmlformats.org/officeDocument/2006/customXml" ds:itemID="{F3D9F795-FC52-4BF7-986C-7B2D81D0B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5</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Jason Dixon</cp:lastModifiedBy>
  <cp:revision>12</cp:revision>
  <cp:lastPrinted>2014-05-01T20:00:00Z</cp:lastPrinted>
  <dcterms:created xsi:type="dcterms:W3CDTF">2016-09-24T14:56:00Z</dcterms:created>
  <dcterms:modified xsi:type="dcterms:W3CDTF">2016-09-26T00:58:00Z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