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000D0221">
        <w:rPr>
          <w:rFonts w:cstheme="minorHAnsi"/>
        </w:rPr>
        <w:fldChar w:fldCharType="begin">
          <w:ffData>
            <w:name w:val="Check8"/>
            <w:enabled/>
            <w:calcOnExit w:val="0"/>
            <w:checkBox>
              <w:sizeAuto/>
              <w:default w:val="1"/>
            </w:checkBox>
          </w:ffData>
        </w:fldChar>
      </w:r>
      <w:bookmarkStart w:id="0" w:name="Check8"/>
      <w:r w:rsidR="000D0221">
        <w:rPr>
          <w:rFonts w:cstheme="minorHAnsi"/>
        </w:rPr>
        <w:instrText xml:space="preserve"> FORMCHECKBOX </w:instrText>
      </w:r>
      <w:r w:rsidR="000D0221">
        <w:rPr>
          <w:rFonts w:cstheme="minorHAnsi"/>
        </w:rPr>
      </w:r>
      <w:r w:rsidR="000D0221">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661CDA">
        <w:rPr>
          <w:rFonts w:cstheme="minorHAnsi"/>
        </w:rPr>
      </w:r>
      <w:r w:rsidR="00661CDA">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Pr="00E04250">
        <w:rPr>
          <w:rFonts w:cstheme="minorHAnsi"/>
        </w:rPr>
        <w:fldChar w:fldCharType="begin">
          <w:ffData>
            <w:name w:val="Check9"/>
            <w:enabled/>
            <w:calcOnExit w:val="0"/>
            <w:checkBox>
              <w:sizeAuto/>
              <w:default w:val="0"/>
            </w:checkBox>
          </w:ffData>
        </w:fldChar>
      </w:r>
      <w:r w:rsidRPr="00E04250">
        <w:rPr>
          <w:rFonts w:cstheme="minorHAnsi"/>
        </w:rPr>
        <w:instrText xml:space="preserve"> FORMCHECKBOX </w:instrText>
      </w:r>
      <w:r w:rsidR="00661CDA">
        <w:rPr>
          <w:rFonts w:cstheme="minorHAnsi"/>
        </w:rPr>
      </w:r>
      <w:r w:rsidR="00661CDA">
        <w:rPr>
          <w:rFonts w:cstheme="minorHAnsi"/>
        </w:rPr>
        <w:fldChar w:fldCharType="separate"/>
      </w:r>
      <w:r w:rsidRPr="00E04250">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0D0221" w:rsidRDefault="000D0221" w:rsidP="000D0221">
      <w:pPr>
        <w:pStyle w:val="BodyText"/>
        <w:spacing w:line="239" w:lineRule="exact"/>
        <w:ind w:left="220" w:right="359"/>
      </w:pPr>
      <w:r>
        <w:t>Describe how the program supports the Bakersfield College Mission:</w:t>
      </w:r>
    </w:p>
    <w:p w:rsidR="000D0221" w:rsidRDefault="000D0221" w:rsidP="000D0221">
      <w:pPr>
        <w:pStyle w:val="BodyText"/>
        <w:ind w:left="219" w:right="359"/>
      </w:pPr>
      <w:r>
        <w:t>The program supports BC’s mission by providing technical skills and critical thinking skills defined and required by employers. Currently employed students in participating organizations who finish the certificate are guaranteed advancement within the organization. Students are also able to transfer to USC Food Industry Executive Program.</w:t>
      </w:r>
    </w:p>
    <w:p w:rsidR="000D0221" w:rsidRDefault="000D0221" w:rsidP="000D0221">
      <w:pPr>
        <w:pStyle w:val="BodyText"/>
      </w:pPr>
    </w:p>
    <w:p w:rsidR="000D0221" w:rsidRDefault="000D0221" w:rsidP="000D0221">
      <w:pPr>
        <w:pStyle w:val="BodyText"/>
        <w:spacing w:before="11"/>
        <w:rPr>
          <w:sz w:val="21"/>
        </w:rPr>
      </w:pPr>
    </w:p>
    <w:p w:rsidR="000D0221" w:rsidRDefault="000D0221" w:rsidP="000D0221">
      <w:pPr>
        <w:pStyle w:val="BodyText"/>
        <w:ind w:left="219" w:right="359"/>
      </w:pPr>
      <w:r>
        <w:t>Program Mission Statement:</w:t>
      </w:r>
    </w:p>
    <w:p w:rsidR="000D0221" w:rsidRDefault="000D0221" w:rsidP="000D0221">
      <w:pPr>
        <w:pStyle w:val="BodyText"/>
        <w:ind w:left="219" w:right="359"/>
      </w:pPr>
      <w:r>
        <w:t>The Western Association of Food Chains is pleased to announce the new WAFC Retail Management Certificate Program, a 10‐course college‐level program that has been fully endorsed by the Western Association of Food Chains and its member companies. The certificate's curriculum was developed out of a collaborative effort between several food industry and college professionals and encompasses several business essentials, including the "soft skills" of management and communication required for career success in the retail food industry.</w:t>
      </w: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390"/>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0D0221"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221" w:rsidRPr="00E04250" w:rsidRDefault="000D0221" w:rsidP="000D0221">
            <w:pPr>
              <w:spacing w:after="0" w:line="240" w:lineRule="auto"/>
              <w:rPr>
                <w:rFonts w:eastAsiaTheme="minorHAnsi"/>
                <w:color w:val="000000"/>
                <w:sz w:val="24"/>
                <w:szCs w:val="24"/>
              </w:rPr>
            </w:pPr>
            <w:r w:rsidRPr="00E04250">
              <w:rPr>
                <w:rFonts w:eastAsiaTheme="minorHAnsi"/>
                <w:color w:val="000000"/>
                <w:sz w:val="24"/>
                <w:szCs w:val="24"/>
              </w:rPr>
              <w:lastRenderedPageBreak/>
              <w:t>1.</w:t>
            </w:r>
            <w:r>
              <w:rPr>
                <w:sz w:val="24"/>
              </w:rPr>
              <w:t xml:space="preserve"> </w:t>
            </w:r>
            <w:r>
              <w:rPr>
                <w:sz w:val="24"/>
              </w:rPr>
              <w:t>Update</w:t>
            </w:r>
            <w:r>
              <w:rPr>
                <w:spacing w:val="-1"/>
                <w:sz w:val="24"/>
              </w:rPr>
              <w:t xml:space="preserve"> </w:t>
            </w:r>
            <w:r>
              <w:rPr>
                <w:sz w:val="24"/>
              </w:rPr>
              <w:t>curriculum</w:t>
            </w:r>
            <w:r>
              <w:rPr>
                <w:spacing w:val="-1"/>
                <w:sz w:val="24"/>
              </w:rPr>
              <w:t xml:space="preserve"> </w:t>
            </w:r>
            <w:r>
              <w:rPr>
                <w:sz w:val="24"/>
              </w:rPr>
              <w:t>to match the new 8‐course format with the</w:t>
            </w:r>
            <w:r>
              <w:rPr>
                <w:spacing w:val="-4"/>
                <w:sz w:val="24"/>
              </w:rPr>
              <w:t xml:space="preserve"> </w:t>
            </w:r>
            <w:r>
              <w:rPr>
                <w:sz w:val="24"/>
              </w:rPr>
              <w:t>WAFC.</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0D0221" w:rsidRPr="00E04250" w:rsidRDefault="000D0221" w:rsidP="000D0221">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sidRPr="00E04250">
              <w:rPr>
                <w:sz w:val="20"/>
                <w:szCs w:val="20"/>
              </w:rPr>
              <w:t xml:space="preserve"> 1: Student Learning                             </w:t>
            </w:r>
          </w:p>
          <w:p w:rsidR="000D0221" w:rsidRPr="00E04250" w:rsidRDefault="000D0221" w:rsidP="000D0221">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0D0221" w:rsidRPr="00E04250" w:rsidRDefault="000D0221" w:rsidP="000D022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0D0221" w:rsidRPr="00E04250" w:rsidRDefault="000D0221" w:rsidP="000D022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0D0221" w:rsidRPr="00E04250" w:rsidRDefault="000D0221" w:rsidP="000D0221">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0D0221" w:rsidRPr="00E04250" w:rsidRDefault="000D0221" w:rsidP="000D0221">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0D0221" w:rsidRPr="00E04250" w:rsidRDefault="000D0221" w:rsidP="000D022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 xml:space="preserve"> __________ (Date)</w:t>
            </w:r>
          </w:p>
          <w:p w:rsidR="000D0221" w:rsidRPr="00E04250" w:rsidRDefault="000D0221" w:rsidP="000D0221">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Pr>
                <w:b/>
                <w:sz w:val="20"/>
                <w:szCs w:val="20"/>
                <w:u w:val="single"/>
              </w:rPr>
            </w:r>
            <w:r>
              <w:rPr>
                <w:b/>
                <w:sz w:val="20"/>
                <w:szCs w:val="20"/>
                <w:u w:val="single"/>
              </w:rPr>
              <w:fldChar w:fldCharType="end"/>
            </w:r>
            <w:bookmarkEnd w:id="3"/>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w:t>
            </w:r>
            <w:r>
              <w:rPr>
                <w:sz w:val="20"/>
                <w:szCs w:val="20"/>
              </w:rPr>
              <w:t>10/2/2016</w:t>
            </w:r>
            <w:r w:rsidRPr="00E04250">
              <w:rPr>
                <w:sz w:val="20"/>
                <w:szCs w:val="20"/>
              </w:rPr>
              <w:t>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0D0221" w:rsidRDefault="000D0221" w:rsidP="000D0221">
            <w:pPr>
              <w:pStyle w:val="TableParagraph"/>
              <w:ind w:left="98" w:right="266"/>
            </w:pPr>
            <w:r>
              <w:t>Courses are being evaluated and updated to match the Student Learning Outcomes provided by the WAFC and the education consulting group.</w:t>
            </w:r>
          </w:p>
        </w:tc>
      </w:tr>
      <w:tr w:rsidR="000D0221"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221" w:rsidRPr="00E04250" w:rsidRDefault="000D0221" w:rsidP="000D0221">
            <w:pPr>
              <w:spacing w:after="0" w:line="240" w:lineRule="auto"/>
              <w:rPr>
                <w:rFonts w:eastAsiaTheme="minorHAnsi"/>
                <w:color w:val="000000"/>
                <w:sz w:val="24"/>
                <w:szCs w:val="24"/>
              </w:rPr>
            </w:pPr>
            <w:r w:rsidRPr="00E04250">
              <w:rPr>
                <w:rFonts w:eastAsiaTheme="minorHAnsi"/>
                <w:color w:val="000000"/>
                <w:sz w:val="24"/>
                <w:szCs w:val="24"/>
              </w:rPr>
              <w:t>2.</w:t>
            </w:r>
            <w:r>
              <w:rPr>
                <w:sz w:val="24"/>
              </w:rPr>
              <w:t xml:space="preserve"> </w:t>
            </w:r>
            <w:r>
              <w:rPr>
                <w:sz w:val="24"/>
              </w:rPr>
              <w:t>Continue</w:t>
            </w:r>
            <w:r>
              <w:rPr>
                <w:spacing w:val="-5"/>
                <w:sz w:val="24"/>
              </w:rPr>
              <w:t xml:space="preserve"> </w:t>
            </w:r>
            <w:r>
              <w:rPr>
                <w:sz w:val="24"/>
              </w:rPr>
              <w:t>to</w:t>
            </w:r>
            <w:r>
              <w:rPr>
                <w:spacing w:val="-5"/>
                <w:sz w:val="24"/>
              </w:rPr>
              <w:t xml:space="preserve"> </w:t>
            </w:r>
            <w:r>
              <w:rPr>
                <w:sz w:val="24"/>
              </w:rPr>
              <w:t>put</w:t>
            </w:r>
            <w:r>
              <w:rPr>
                <w:spacing w:val="-1"/>
                <w:sz w:val="24"/>
              </w:rPr>
              <w:t xml:space="preserve"> </w:t>
            </w:r>
            <w:r>
              <w:rPr>
                <w:sz w:val="24"/>
              </w:rPr>
              <w:t>pressure on corporate entities to allow local employees the opportunity to have a set schedule to take</w:t>
            </w:r>
            <w:r>
              <w:rPr>
                <w:spacing w:val="-1"/>
                <w:sz w:val="24"/>
              </w:rPr>
              <w:t xml:space="preserve"> </w:t>
            </w:r>
            <w:r>
              <w:rPr>
                <w:sz w:val="24"/>
              </w:rPr>
              <w:t>classes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0D0221" w:rsidRPr="00E04250" w:rsidRDefault="000D0221" w:rsidP="000D0221">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1: Student Learning                             </w:t>
            </w:r>
          </w:p>
          <w:p w:rsidR="000D0221" w:rsidRPr="00E04250" w:rsidRDefault="000D0221" w:rsidP="000D0221">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0D0221" w:rsidRPr="00E04250" w:rsidRDefault="000D0221" w:rsidP="000D022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0D0221" w:rsidRPr="00E04250" w:rsidRDefault="000D0221" w:rsidP="000D022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0D0221" w:rsidRPr="00E04250" w:rsidRDefault="000D0221" w:rsidP="000D0221">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0D0221" w:rsidRPr="00E04250" w:rsidRDefault="000D0221" w:rsidP="000D0221">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0D0221" w:rsidRPr="00E04250" w:rsidRDefault="000D0221" w:rsidP="000D0221">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0D0221" w:rsidRPr="00E04250" w:rsidRDefault="000D0221" w:rsidP="000D0221">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10/2/2016</w:t>
            </w:r>
            <w:r w:rsidRPr="00E04250">
              <w:rPr>
                <w:sz w:val="20"/>
                <w:szCs w:val="20"/>
              </w:rPr>
              <w:t>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0D0221" w:rsidRDefault="000D0221" w:rsidP="000D0221">
            <w:pPr>
              <w:pStyle w:val="TableParagraph"/>
              <w:ind w:left="98" w:right="107"/>
            </w:pPr>
            <w:r>
              <w:t>None of the stores have a local HR / Training department and rely on LA area offices to provide those</w:t>
            </w:r>
            <w:r>
              <w:rPr>
                <w:spacing w:val="-8"/>
              </w:rPr>
              <w:t xml:space="preserve"> </w:t>
            </w:r>
            <w:r>
              <w:t>services. Many of the corporations do not articulate how important the program is to the local</w:t>
            </w:r>
            <w:r>
              <w:rPr>
                <w:spacing w:val="-9"/>
              </w:rPr>
              <w:t xml:space="preserve"> </w:t>
            </w:r>
            <w:r>
              <w:t>employees</w:t>
            </w: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 xml:space="preserve">List the program’s goals for the next three years.  Ensure that stated goals are specific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0D0221" w:rsidRPr="00E04250" w:rsidTr="00313311">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221" w:rsidRPr="00E04250" w:rsidRDefault="000D0221" w:rsidP="000D0221">
            <w:pPr>
              <w:spacing w:after="0" w:line="240" w:lineRule="auto"/>
              <w:rPr>
                <w:rFonts w:eastAsiaTheme="minorHAnsi"/>
                <w:color w:val="000000"/>
                <w:sz w:val="24"/>
                <w:szCs w:val="24"/>
              </w:rPr>
            </w:pPr>
            <w:r w:rsidRPr="00E04250">
              <w:rPr>
                <w:rFonts w:eastAsiaTheme="minorHAnsi"/>
                <w:color w:val="000000"/>
                <w:sz w:val="24"/>
                <w:szCs w:val="24"/>
              </w:rPr>
              <w:t>1.</w:t>
            </w:r>
            <w:r>
              <w:rPr>
                <w:sz w:val="24"/>
              </w:rPr>
              <w:t xml:space="preserve"> </w:t>
            </w:r>
            <w:r>
              <w:rPr>
                <w:sz w:val="24"/>
              </w:rPr>
              <w:t>Promote the certificate program in the local stores by college representative and increase enrollment by 10% in the certificate program</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0D0221" w:rsidRPr="00E04250" w:rsidRDefault="000D0221" w:rsidP="000D0221">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1: Student Learning                             </w:t>
            </w:r>
          </w:p>
          <w:p w:rsidR="000D0221" w:rsidRPr="00E04250" w:rsidRDefault="000D0221" w:rsidP="000D0221">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0D0221" w:rsidRPr="00E04250" w:rsidRDefault="000D0221" w:rsidP="000D022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0D0221" w:rsidRPr="00E04250" w:rsidRDefault="000D0221" w:rsidP="000D022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0D0221" w:rsidRPr="00E04250" w:rsidRDefault="000D0221" w:rsidP="000D0221">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Mar>
              <w:top w:w="0" w:type="dxa"/>
              <w:left w:w="108" w:type="dxa"/>
              <w:bottom w:w="0" w:type="dxa"/>
              <w:right w:w="108" w:type="dxa"/>
            </w:tcMar>
          </w:tcPr>
          <w:p w:rsidR="000D0221" w:rsidRDefault="000D0221" w:rsidP="000D0221">
            <w:pPr>
              <w:pStyle w:val="TableParagraph"/>
              <w:ind w:left="98" w:right="200"/>
            </w:pPr>
            <w:r>
              <w:t>We have developed a flyer to handout at stores with contact information and certificate requirements. I will distribute and meet with store managers.</w:t>
            </w:r>
          </w:p>
        </w:tc>
        <w:tc>
          <w:tcPr>
            <w:tcW w:w="1530" w:type="dxa"/>
            <w:tcMar>
              <w:top w:w="0" w:type="dxa"/>
              <w:left w:w="108" w:type="dxa"/>
              <w:bottom w:w="0" w:type="dxa"/>
              <w:right w:w="108" w:type="dxa"/>
            </w:tcMar>
          </w:tcPr>
          <w:p w:rsidR="000D0221" w:rsidRDefault="000D0221" w:rsidP="000D0221">
            <w:pPr>
              <w:pStyle w:val="TableParagraph"/>
              <w:ind w:left="98" w:right="132"/>
            </w:pPr>
            <w:r>
              <w:t>1 year</w:t>
            </w:r>
          </w:p>
        </w:tc>
        <w:tc>
          <w:tcPr>
            <w:tcW w:w="1638" w:type="dxa"/>
          </w:tcPr>
          <w:p w:rsidR="000D0221" w:rsidRDefault="000D0221" w:rsidP="000D0221">
            <w:pPr>
              <w:pStyle w:val="TableParagraph"/>
              <w:ind w:left="-10" w:right="21"/>
            </w:pPr>
            <w:r>
              <w:t>Michael Ivey</w:t>
            </w:r>
          </w:p>
        </w:tc>
      </w:tr>
      <w:tr w:rsidR="000D0221"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D0221" w:rsidRPr="00E04250" w:rsidRDefault="000D0221" w:rsidP="000D0221">
            <w:pPr>
              <w:spacing w:after="0" w:line="240" w:lineRule="auto"/>
              <w:rPr>
                <w:rFonts w:eastAsiaTheme="minorHAnsi"/>
                <w:color w:val="000000"/>
                <w:sz w:val="24"/>
                <w:szCs w:val="24"/>
              </w:rPr>
            </w:pPr>
            <w:r w:rsidRPr="00E04250">
              <w:rPr>
                <w:rFonts w:eastAsiaTheme="minorHAnsi"/>
                <w:color w:val="000000"/>
                <w:sz w:val="24"/>
                <w:szCs w:val="24"/>
              </w:rPr>
              <w:t>2.</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0D0221" w:rsidRPr="00E04250" w:rsidRDefault="000D0221" w:rsidP="000D0221">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1: Student Learning                             </w:t>
            </w:r>
          </w:p>
          <w:p w:rsidR="000D0221" w:rsidRPr="00E04250" w:rsidRDefault="000D0221" w:rsidP="000D0221">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0D0221" w:rsidRPr="00E04250" w:rsidRDefault="000D0221" w:rsidP="000D0221">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0D0221" w:rsidRPr="00E04250" w:rsidRDefault="000D0221" w:rsidP="000D0221">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4: Oversight and Accountability           </w:t>
            </w:r>
          </w:p>
          <w:p w:rsidR="000D0221" w:rsidRPr="00E04250" w:rsidRDefault="000D0221" w:rsidP="000D0221">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0D0221" w:rsidRPr="00E04250" w:rsidRDefault="000D0221" w:rsidP="000D0221">
            <w:pPr>
              <w:pStyle w:val="NoSpacing"/>
              <w:rPr>
                <w:rFonts w:eastAsiaTheme="minorHAnsi"/>
                <w:color w:val="000000"/>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0D0221" w:rsidRPr="00E04250" w:rsidRDefault="000D0221" w:rsidP="000D0221">
            <w:pPr>
              <w:spacing w:after="0" w:line="240" w:lineRule="auto"/>
              <w:rPr>
                <w:rFonts w:eastAsiaTheme="minorHAnsi"/>
                <w:color w:val="000000"/>
                <w:sz w:val="24"/>
                <w:szCs w:val="24"/>
              </w:rPr>
            </w:pPr>
          </w:p>
        </w:tc>
        <w:tc>
          <w:tcPr>
            <w:tcW w:w="1638" w:type="dxa"/>
            <w:tcBorders>
              <w:top w:val="nil"/>
              <w:left w:val="nil"/>
              <w:bottom w:val="single" w:sz="8" w:space="0" w:color="auto"/>
              <w:right w:val="single" w:sz="8" w:space="0" w:color="auto"/>
            </w:tcBorders>
          </w:tcPr>
          <w:p w:rsidR="000D0221" w:rsidRPr="00E04250" w:rsidRDefault="000D0221" w:rsidP="000D0221">
            <w:pPr>
              <w:spacing w:after="0" w:line="240" w:lineRule="auto"/>
              <w:rPr>
                <w:rFonts w:eastAsiaTheme="minorHAnsi"/>
                <w:color w:val="000000"/>
                <w:sz w:val="24"/>
                <w:szCs w:val="24"/>
              </w:rPr>
            </w:pP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9C7336" w:rsidRDefault="009C7336" w:rsidP="009C7336">
      <w:pPr>
        <w:pStyle w:val="NormalWeb"/>
        <w:spacing w:before="0" w:beforeAutospacing="0" w:after="0" w:afterAutospacing="0"/>
        <w:ind w:left="720"/>
        <w:rPr>
          <w:rFonts w:ascii="Calibri" w:hAnsi="Calibri"/>
          <w:sz w:val="22"/>
          <w:szCs w:val="22"/>
        </w:rPr>
      </w:pPr>
      <w:r w:rsidRPr="009C7336">
        <w:rPr>
          <w:rFonts w:ascii="Calibri" w:hAnsi="Calibri"/>
          <w:sz w:val="22"/>
          <w:szCs w:val="22"/>
        </w:rPr>
        <w:t>Data generated and presented is for the entire BMIT area and does break it down in to the individual programs so there is no way to track changes in demographics. Speaking as a department, the student demographics are directly in line with the college as a whole.</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lastRenderedPageBreak/>
        <w:t xml:space="preserve">Changes in enrollment (headcount, sections, course enrollment, and productivity). </w:t>
      </w:r>
    </w:p>
    <w:p w:rsidR="007B7FF4" w:rsidRDefault="007B7FF4" w:rsidP="007B7FF4">
      <w:pPr>
        <w:pStyle w:val="NormalWeb"/>
        <w:spacing w:before="0" w:beforeAutospacing="0" w:after="0" w:afterAutospacing="0"/>
        <w:ind w:left="720"/>
        <w:rPr>
          <w:rFonts w:ascii="Calibri" w:hAnsi="Calibri"/>
          <w:sz w:val="22"/>
          <w:szCs w:val="22"/>
        </w:rPr>
      </w:pPr>
      <w:r>
        <w:rPr>
          <w:noProof/>
        </w:rPr>
        <w:drawing>
          <wp:inline distT="0" distB="0" distL="0" distR="0" wp14:anchorId="71170AF6" wp14:editId="1C0C79E1">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B7FF4" w:rsidRDefault="007B7FF4" w:rsidP="007B7FF4">
      <w:pPr>
        <w:pStyle w:val="NormalWeb"/>
        <w:spacing w:before="0" w:beforeAutospacing="0" w:after="0" w:afterAutospacing="0"/>
        <w:ind w:left="720"/>
        <w:rPr>
          <w:rFonts w:ascii="Calibri" w:hAnsi="Calibri"/>
          <w:sz w:val="22"/>
          <w:szCs w:val="22"/>
        </w:rPr>
      </w:pPr>
      <w:r>
        <w:rPr>
          <w:rFonts w:ascii="Calibri" w:hAnsi="Calibri"/>
          <w:sz w:val="22"/>
          <w:szCs w:val="22"/>
        </w:rPr>
        <w:t xml:space="preserve">Enrollments have been declining in many of the RMC courses.  Many employers will not work with student schedules and expect them to only take course online.  Success rates are not a good as compared to f2f classes so we do not plan on offering those course in online format.  Fresno City and Cerritos </w:t>
      </w:r>
      <w:r w:rsidR="00C85FC1">
        <w:rPr>
          <w:rFonts w:ascii="Calibri" w:hAnsi="Calibri"/>
          <w:sz w:val="22"/>
          <w:szCs w:val="22"/>
        </w:rPr>
        <w:t>h</w:t>
      </w:r>
      <w:r>
        <w:rPr>
          <w:rFonts w:ascii="Calibri" w:hAnsi="Calibri"/>
          <w:sz w:val="22"/>
          <w:szCs w:val="22"/>
        </w:rPr>
        <w:t xml:space="preserve">ave entirely online program and student are </w:t>
      </w:r>
      <w:r w:rsidR="00C85FC1">
        <w:rPr>
          <w:rFonts w:ascii="Calibri" w:hAnsi="Calibri"/>
          <w:sz w:val="22"/>
          <w:szCs w:val="22"/>
        </w:rPr>
        <w:t>able</w:t>
      </w:r>
      <w:r>
        <w:rPr>
          <w:rFonts w:ascii="Calibri" w:hAnsi="Calibri"/>
          <w:sz w:val="22"/>
          <w:szCs w:val="22"/>
        </w:rPr>
        <w:t xml:space="preserve"> to take </w:t>
      </w:r>
      <w:r w:rsidR="00C85FC1">
        <w:rPr>
          <w:rFonts w:ascii="Calibri" w:hAnsi="Calibri"/>
          <w:sz w:val="22"/>
          <w:szCs w:val="22"/>
        </w:rPr>
        <w:t>classes</w:t>
      </w:r>
      <w:r>
        <w:rPr>
          <w:rFonts w:ascii="Calibri" w:hAnsi="Calibri"/>
          <w:sz w:val="22"/>
          <w:szCs w:val="22"/>
        </w:rPr>
        <w:t xml:space="preserve"> through them.  </w:t>
      </w:r>
    </w:p>
    <w:p w:rsidR="007B7FF4" w:rsidRDefault="007B7FF4" w:rsidP="007B7FF4">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sidRPr="00274671">
        <w:rPr>
          <w:rFonts w:ascii="Calibri" w:hAnsi="Calibri"/>
          <w:sz w:val="22"/>
          <w:szCs w:val="22"/>
        </w:rPr>
        <w:t>Changes in achievement gap and disproportionate impact.</w:t>
      </w:r>
    </w:p>
    <w:p w:rsidR="007B7FF4" w:rsidRPr="00274671" w:rsidRDefault="007B7FF4" w:rsidP="007B7FF4">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C85FC1" w:rsidRDefault="00C85FC1" w:rsidP="00C85FC1">
      <w:pPr>
        <w:pStyle w:val="ListParagraph"/>
      </w:pPr>
    </w:p>
    <w:p w:rsidR="00C85FC1" w:rsidRDefault="00C85FC1" w:rsidP="00C85FC1">
      <w:pPr>
        <w:pStyle w:val="NormalWeb"/>
        <w:spacing w:before="0" w:beforeAutospacing="0" w:after="0" w:afterAutospacing="0"/>
        <w:ind w:left="720"/>
        <w:rPr>
          <w:rFonts w:ascii="Calibri" w:hAnsi="Calibri"/>
          <w:sz w:val="22"/>
          <w:szCs w:val="22"/>
        </w:rPr>
      </w:pPr>
      <w:r>
        <w:rPr>
          <w:rFonts w:ascii="Calibri" w:hAnsi="Calibri"/>
          <w:sz w:val="22"/>
          <w:szCs w:val="22"/>
        </w:rPr>
        <w:t>Success rates are evenly distributed across the course and the table below shows that rates are not necessarily because of the course as much as a semester trend.</w:t>
      </w:r>
    </w:p>
    <w:p w:rsidR="007B7FF4" w:rsidRDefault="007B7FF4" w:rsidP="007B7FF4">
      <w:pPr>
        <w:pStyle w:val="NormalWeb"/>
        <w:spacing w:before="0" w:beforeAutospacing="0" w:after="0" w:afterAutospacing="0"/>
        <w:ind w:left="720"/>
        <w:rPr>
          <w:rFonts w:ascii="Calibri" w:hAnsi="Calibri"/>
          <w:sz w:val="22"/>
          <w:szCs w:val="22"/>
        </w:rPr>
      </w:pPr>
      <w:r>
        <w:rPr>
          <w:noProof/>
        </w:rPr>
        <w:lastRenderedPageBreak/>
        <w:drawing>
          <wp:inline distT="0" distB="0" distL="0" distR="0" wp14:anchorId="0031E244" wp14:editId="6FB44E3B">
            <wp:extent cx="4807323" cy="2743200"/>
            <wp:effectExtent l="0" t="0" r="127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C85FC1" w:rsidRDefault="00C85FC1" w:rsidP="00C85FC1">
      <w:pPr>
        <w:pStyle w:val="NormalWeb"/>
        <w:spacing w:before="0" w:beforeAutospacing="0" w:after="0" w:afterAutospacing="0"/>
        <w:ind w:left="720"/>
        <w:rPr>
          <w:rFonts w:ascii="Calibri" w:hAnsi="Calibri"/>
          <w:sz w:val="22"/>
          <w:szCs w:val="22"/>
        </w:rPr>
      </w:pPr>
      <w:r>
        <w:rPr>
          <w:rFonts w:ascii="Calibri" w:hAnsi="Calibri"/>
          <w:sz w:val="22"/>
          <w:szCs w:val="22"/>
        </w:rPr>
        <w:t>See item G</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C85FC1" w:rsidP="002524D7">
            <w:pPr>
              <w:spacing w:before="100" w:beforeAutospacing="1" w:after="100" w:afterAutospacing="1"/>
              <w:rPr>
                <w:rFonts w:ascii="Calibri,Bold" w:hAnsi="Calibri,Bold"/>
                <w:lang w:eastAsia="ja-JP"/>
              </w:rPr>
            </w:pPr>
            <w:r>
              <w:rPr>
                <w:rFonts w:ascii="Calibri,Bold" w:hAnsi="Calibri,Bold"/>
                <w:lang w:eastAsia="ja-JP"/>
              </w:rPr>
              <w:t>Retail Management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C85FC1" w:rsidP="002524D7">
            <w:pPr>
              <w:spacing w:before="100" w:beforeAutospacing="1" w:after="100" w:afterAutospacing="1"/>
              <w:rPr>
                <w:rFonts w:ascii="Calibri,Bold" w:hAnsi="Calibri,Bold"/>
                <w:lang w:eastAsia="ja-JP"/>
              </w:rPr>
            </w:pPr>
            <w:r>
              <w:rPr>
                <w:rFonts w:ascii="Calibri,Bold" w:hAnsi="Calibri,Bold"/>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C85FC1" w:rsidP="002524D7">
            <w:pPr>
              <w:spacing w:before="100" w:beforeAutospacing="1" w:after="100" w:afterAutospacing="1"/>
              <w:rPr>
                <w:rFonts w:ascii="Calibri,Bold" w:hAnsi="Calibri,Bold"/>
                <w:lang w:eastAsia="ja-JP"/>
              </w:rPr>
            </w:pPr>
            <w:r>
              <w:rPr>
                <w:rFonts w:ascii="Calibri,Bold" w:hAnsi="Calibri,Bold"/>
                <w:lang w:eastAsia="ja-JP"/>
              </w:rPr>
              <w:t>0</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C85FC1" w:rsidP="002524D7">
            <w:pPr>
              <w:spacing w:before="100" w:beforeAutospacing="1" w:after="100" w:afterAutospacing="1"/>
              <w:rPr>
                <w:rFonts w:ascii="Calibri,Bold" w:hAnsi="Calibri,Bold"/>
                <w:lang w:eastAsia="ja-JP"/>
              </w:rPr>
            </w:pPr>
            <w:r>
              <w:rPr>
                <w:rFonts w:ascii="Calibri,Bold" w:hAnsi="Calibri,Bold"/>
                <w:lang w:eastAsia="ja-JP"/>
              </w:rPr>
              <w:t>2</w:t>
            </w: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C85FC1" w:rsidP="002524D7">
            <w:pPr>
              <w:spacing w:before="100" w:beforeAutospacing="1" w:after="100" w:afterAutospacing="1"/>
              <w:rPr>
                <w:rFonts w:ascii="Calibri,Bold" w:hAnsi="Calibri,Bold"/>
                <w:lang w:eastAsia="ja-JP"/>
              </w:rPr>
            </w:pPr>
            <w:r>
              <w:rPr>
                <w:rFonts w:ascii="Calibri,Bold" w:hAnsi="Calibri,Bold"/>
                <w:lang w:eastAsia="ja-JP"/>
              </w:rPr>
              <w:t>1</w:t>
            </w: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C85FC1" w:rsidP="002524D7">
            <w:pPr>
              <w:spacing w:before="100" w:beforeAutospacing="1" w:after="100" w:afterAutospacing="1"/>
              <w:rPr>
                <w:rFonts w:ascii="Calibri,Bold" w:hAnsi="Calibri,Bold"/>
                <w:lang w:eastAsia="ja-JP"/>
              </w:rPr>
            </w:pPr>
            <w:r>
              <w:rPr>
                <w:rFonts w:ascii="Calibri,Bold" w:hAnsi="Calibri,Bold"/>
                <w:lang w:eastAsia="ja-JP"/>
              </w:rPr>
              <w:t>0</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C85FC1" w:rsidP="002524D7">
            <w:pPr>
              <w:spacing w:before="100" w:beforeAutospacing="1" w:after="100" w:afterAutospacing="1"/>
              <w:rPr>
                <w:rFonts w:ascii="Calibri,Bold" w:hAnsi="Calibri,Bold"/>
                <w:lang w:eastAsia="ja-JP"/>
              </w:rPr>
            </w:pPr>
            <w:r>
              <w:rPr>
                <w:rFonts w:ascii="Calibri,Bold" w:hAnsi="Calibri,Bold"/>
                <w:lang w:eastAsia="ja-JP"/>
              </w:rPr>
              <w:t>2</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74FAF" w:rsidRPr="00E04250" w:rsidRDefault="006B46E8" w:rsidP="006B46E8">
      <w:pPr>
        <w:spacing w:after="0" w:line="240" w:lineRule="auto"/>
      </w:pPr>
      <w:r>
        <w:t xml:space="preserve">Use attached </w:t>
      </w:r>
      <w:r w:rsidRPr="00961586">
        <w:rPr>
          <w:b/>
          <w:u w:val="single"/>
        </w:rPr>
        <w:t>Assessment Report Form</w:t>
      </w:r>
      <w:r>
        <w:rPr>
          <w:b/>
          <w:u w:val="single"/>
        </w:rPr>
        <w:t xml:space="preserve"> Comprehensive Tab</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C85FC1" w:rsidRPr="00C85FC1" w:rsidRDefault="00C85FC1" w:rsidP="00C85FC1">
      <w:pPr>
        <w:pStyle w:val="ListParagraph"/>
        <w:spacing w:after="0" w:line="240" w:lineRule="auto"/>
        <w:rPr>
          <w:rFonts w:cstheme="minorHAnsi"/>
        </w:rPr>
      </w:pPr>
      <w:r w:rsidRPr="00C85FC1">
        <w:rPr>
          <w:rFonts w:cstheme="minorHAnsi"/>
        </w:rPr>
        <w:t>Financial Aid: Tuition reimbursement, pre‐paid tuition, scholarships, and other forms of financial aid for the program are paramount in facilitating employees’ participation.</w:t>
      </w:r>
    </w:p>
    <w:p w:rsidR="00C85FC1" w:rsidRPr="00C85FC1" w:rsidRDefault="00C85FC1" w:rsidP="00C85FC1">
      <w:pPr>
        <w:pStyle w:val="ListParagraph"/>
        <w:spacing w:after="0" w:line="240" w:lineRule="auto"/>
        <w:rPr>
          <w:rFonts w:cstheme="minorHAnsi"/>
        </w:rPr>
      </w:pPr>
    </w:p>
    <w:p w:rsidR="00C85FC1" w:rsidRPr="00E04250" w:rsidRDefault="00C85FC1" w:rsidP="00C85FC1">
      <w:pPr>
        <w:pStyle w:val="ListParagraph"/>
        <w:spacing w:after="0" w:line="240" w:lineRule="auto"/>
        <w:rPr>
          <w:rFonts w:cstheme="minorHAnsi"/>
        </w:rPr>
      </w:pPr>
      <w:r w:rsidRPr="00C85FC1">
        <w:rPr>
          <w:rFonts w:cstheme="minorHAnsi"/>
        </w:rPr>
        <w:t>Professional Endorsements: It is also advantageous that the colleges and other industry organizations, such as the WAFC, the California Grocers Association (CGA), and the Arizona Food Marketing Alliance (AFMA), all endorse the program; these endorsements give the RMC more legitimacy, industry‐wide value, and recognition.</w:t>
      </w: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C85FC1" w:rsidRPr="00C85FC1" w:rsidRDefault="00C85FC1" w:rsidP="00C85FC1">
      <w:pPr>
        <w:pStyle w:val="ListParagraph"/>
        <w:spacing w:after="0" w:line="240" w:lineRule="auto"/>
        <w:rPr>
          <w:rFonts w:cstheme="minorHAnsi"/>
        </w:rPr>
      </w:pPr>
      <w:r w:rsidRPr="00C85FC1">
        <w:rPr>
          <w:rFonts w:cstheme="minorHAnsi"/>
        </w:rPr>
        <w:t>Time: The students are often full‐time, experienced employees with families, community responsibilities, and other activities that compete for time and attention.</w:t>
      </w:r>
    </w:p>
    <w:p w:rsidR="00C85FC1" w:rsidRPr="00C85FC1" w:rsidRDefault="00C85FC1" w:rsidP="00C85FC1">
      <w:pPr>
        <w:pStyle w:val="ListParagraph"/>
        <w:spacing w:after="0" w:line="240" w:lineRule="auto"/>
        <w:rPr>
          <w:rFonts w:cstheme="minorHAnsi"/>
        </w:rPr>
      </w:pPr>
    </w:p>
    <w:p w:rsidR="00C85FC1" w:rsidRPr="00E04250" w:rsidRDefault="00C85FC1" w:rsidP="00C85FC1">
      <w:pPr>
        <w:pStyle w:val="ListParagraph"/>
        <w:spacing w:after="0" w:line="240" w:lineRule="auto"/>
        <w:rPr>
          <w:rFonts w:cstheme="minorHAnsi"/>
        </w:rPr>
      </w:pPr>
      <w:r w:rsidRPr="00C85FC1">
        <w:rPr>
          <w:rFonts w:cstheme="minorHAnsi"/>
        </w:rPr>
        <w:t>Awareness: Industry employees are often unaware of the program, its facets, and how much potential the certificate has to further their career in the grocery/retail industry. They also don't know how much their superiors support the program. Thus, providing informative career/education path communication materials to potential students is critical.</w:t>
      </w:r>
    </w:p>
    <w:p w:rsidR="00574FAF" w:rsidRPr="00E04250"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r>
        <w:t>,</w:t>
      </w:r>
      <w:r w:rsidRPr="00E04250">
        <w:t xml:space="preserve"> please fill out the appropriate form. </w:t>
      </w:r>
      <w:hyperlink r:id="rId12" w:history="1">
        <w:r w:rsidRPr="00514063">
          <w:rPr>
            <w:rStyle w:val="Hyperlink"/>
          </w:rPr>
          <w:t>https://committees.kccd.edu/bc/committee/programreview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Default="00574FAF" w:rsidP="002B32F4">
      <w:pPr>
        <w:pStyle w:val="ListParagraph"/>
        <w:numPr>
          <w:ilvl w:val="0"/>
          <w:numId w:val="2"/>
        </w:numPr>
        <w:spacing w:after="0" w:line="240" w:lineRule="auto"/>
        <w:rPr>
          <w:rFonts w:cstheme="minorHAnsi"/>
        </w:rPr>
      </w:pPr>
      <w:r w:rsidRPr="00E04250">
        <w:rPr>
          <w:rFonts w:cstheme="minorHAnsi"/>
        </w:rPr>
        <w:t xml:space="preserve">If you are requesting any additional positions, explain briefly how the additional positions will contribute to increased student success.  Include upcoming retirements or open positions that need to be filled.  </w:t>
      </w:r>
    </w:p>
    <w:p w:rsidR="00C85FC1" w:rsidRPr="00C85FC1" w:rsidRDefault="00C85FC1" w:rsidP="00C85FC1">
      <w:pPr>
        <w:spacing w:after="0" w:line="240" w:lineRule="auto"/>
        <w:ind w:left="720"/>
        <w:rPr>
          <w:rFonts w:cstheme="minorHAnsi"/>
        </w:rPr>
      </w:pPr>
      <w:r>
        <w:rPr>
          <w:rFonts w:cstheme="minorHAnsi"/>
        </w:rPr>
        <w:t>n/a</w:t>
      </w: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C85FC1" w:rsidRDefault="00C85FC1" w:rsidP="00C85FC1">
      <w:pPr>
        <w:pStyle w:val="ListParagraph"/>
        <w:spacing w:after="0" w:line="240" w:lineRule="auto"/>
        <w:ind w:left="1440"/>
      </w:pPr>
    </w:p>
    <w:p w:rsidR="00C85FC1" w:rsidRPr="00E04250" w:rsidRDefault="00C85FC1" w:rsidP="00C85FC1">
      <w:pPr>
        <w:pStyle w:val="ListParagraph"/>
        <w:spacing w:after="0" w:line="240" w:lineRule="auto"/>
        <w:ind w:left="1440"/>
      </w:pPr>
      <w:r w:rsidRPr="00C85FC1">
        <w:t>A full‐time faculty member attends the two semi‐annual WAFC Educational advisory committee meetings in Southern California. These meetings discuss what works and doesn’t for other colleges and allows employers to tell us what they feel the future and current employees would need to be successful.</w:t>
      </w: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C85FC1" w:rsidRDefault="00C85FC1" w:rsidP="00C85FC1">
      <w:pPr>
        <w:pStyle w:val="ListParagraph"/>
        <w:spacing w:after="0" w:line="240" w:lineRule="auto"/>
        <w:ind w:left="1440"/>
      </w:pPr>
      <w:r w:rsidRPr="00C85FC1">
        <w:t>Continue to attend and be a part of the Southern California’s WAFC Advisory Committee</w:t>
      </w:r>
    </w:p>
    <w:p w:rsidR="00574FAF" w:rsidRDefault="00574FAF" w:rsidP="002B32F4">
      <w:pPr>
        <w:pStyle w:val="ListParagraph"/>
        <w:spacing w:after="0" w:line="240" w:lineRule="auto"/>
        <w:ind w:left="1440"/>
      </w:pP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C85FC1" w:rsidRPr="0063650E" w:rsidRDefault="00C85FC1" w:rsidP="00C85FC1">
      <w:pPr>
        <w:pStyle w:val="ListParagraph"/>
        <w:spacing w:after="0" w:line="240" w:lineRule="auto"/>
        <w:ind w:left="1080"/>
        <w:rPr>
          <w:rFonts w:cstheme="minorHAnsi"/>
        </w:rPr>
      </w:pPr>
      <w:r w:rsidRPr="00C85FC1">
        <w:rPr>
          <w:rFonts w:cstheme="minorHAnsi"/>
        </w:rPr>
        <w:t>In the evenings, the lack of maintenance throughout the day is evident with the restrooms being of particular concern, as expressed frequently by students. Students feel unwelcome to the campus because of the poor conditions in the building.</w:t>
      </w:r>
    </w:p>
    <w:p w:rsidR="00574FAF" w:rsidRPr="0063650E"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C85FC1"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C85FC1" w:rsidRDefault="00C85FC1" w:rsidP="00C85FC1">
      <w:pPr>
        <w:pStyle w:val="ListParagraph"/>
        <w:spacing w:after="0" w:line="240" w:lineRule="auto"/>
        <w:ind w:left="1080"/>
        <w:contextualSpacing w:val="0"/>
        <w:rPr>
          <w:rFonts w:eastAsiaTheme="minorHAnsi"/>
        </w:rPr>
      </w:pPr>
      <w:r>
        <w:t>n/a</w:t>
      </w:r>
    </w:p>
    <w:p w:rsidR="00574FAF" w:rsidRDefault="00574FAF" w:rsidP="002B32F4">
      <w:pPr>
        <w:pStyle w:val="ListParagraph"/>
        <w:numPr>
          <w:ilvl w:val="0"/>
          <w:numId w:val="8"/>
        </w:numPr>
        <w:spacing w:after="0" w:line="240" w:lineRule="auto"/>
        <w:ind w:left="1080"/>
        <w:contextualSpacing w:val="0"/>
      </w:pPr>
      <w:r>
        <w:t>How will your new or repurposed classroom, office technology and/or equipment request contribute to student success?</w:t>
      </w:r>
    </w:p>
    <w:p w:rsidR="00C85FC1" w:rsidRDefault="00C85FC1" w:rsidP="00C85FC1">
      <w:pPr>
        <w:pStyle w:val="ListParagraph"/>
        <w:spacing w:after="0" w:line="240" w:lineRule="auto"/>
        <w:ind w:left="1080"/>
        <w:contextualSpacing w:val="0"/>
      </w:pPr>
      <w:r>
        <w:t>n/a</w:t>
      </w: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574FAF" w:rsidRPr="00E04250" w:rsidRDefault="00574FAF" w:rsidP="002B32F4">
      <w:pPr>
        <w:spacing w:after="0" w:line="240" w:lineRule="auto"/>
        <w:ind w:left="360"/>
        <w:rPr>
          <w:rFonts w:cstheme="minorHAnsi"/>
          <w:u w:val="single"/>
        </w:rPr>
      </w:pPr>
    </w:p>
    <w:p w:rsidR="00574FAF" w:rsidRPr="00E04250"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t>VII.  Faculty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C85FC1" w:rsidRDefault="00C85FC1" w:rsidP="00C85FC1">
      <w:pPr>
        <w:pStyle w:val="ListParagraph"/>
        <w:spacing w:after="0" w:line="240" w:lineRule="auto"/>
      </w:pPr>
      <w:r>
        <w:t>Most department members are serving on committees on campus as well as in the community. Faculty serve as board members at Youth</w:t>
      </w:r>
    </w:p>
    <w:p w:rsidR="00C85FC1" w:rsidRDefault="00C85FC1" w:rsidP="00C85FC1">
      <w:pPr>
        <w:pStyle w:val="ListParagraph"/>
        <w:spacing w:after="0" w:line="240" w:lineRule="auto"/>
      </w:pPr>
      <w:r>
        <w:t>Connection, and Consumer Credit Counselors of Kern and Tulare Counties and we also work closely with the Bakersfield Women’s Business Co</w:t>
      </w:r>
      <w:r>
        <w:t>nference being held September 29</w:t>
      </w:r>
      <w:r>
        <w:t>. Each committee with a BMIT rep has a member serving in that capacity. Also, member so the faculty are also serving in co‐chair positions on college committees. The department holds regular department meetings and special meeting with special areas that do not include the whole group (Computer Science Faculty, Office Technology Faculty, etc.)</w:t>
      </w:r>
    </w:p>
    <w:p w:rsidR="002B32F4" w:rsidRDefault="002B32F4" w:rsidP="002B32F4">
      <w:pPr>
        <w:pStyle w:val="ListParagraph"/>
        <w:numPr>
          <w:ilvl w:val="0"/>
          <w:numId w:val="12"/>
        </w:numPr>
        <w:spacing w:after="0" w:line="240" w:lineRule="auto"/>
      </w:pPr>
      <w:r>
        <w:t>Instruction Only:  Discuss how adjunct faculty are included in departmental training, discussions and decision-making.</w:t>
      </w:r>
    </w:p>
    <w:p w:rsidR="00C85FC1" w:rsidRPr="002B32F4" w:rsidRDefault="00C85FC1" w:rsidP="00C85FC1">
      <w:pPr>
        <w:pStyle w:val="ListParagraph"/>
        <w:spacing w:after="0" w:line="240" w:lineRule="auto"/>
      </w:pPr>
      <w:r w:rsidRPr="00C85FC1">
        <w:t>All faculty are invited to department meetings and part‐time faculty who are able to attend usually do.</w:t>
      </w: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Pr="00E04250"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574FAF" w:rsidRDefault="00574FAF" w:rsidP="00574FAF">
      <w:pPr>
        <w:spacing w:after="0" w:line="240" w:lineRule="auto"/>
        <w:rPr>
          <w:sz w:val="20"/>
          <w:szCs w:val="20"/>
        </w:rPr>
      </w:pPr>
    </w:p>
    <w:p w:rsidR="00C85FC1" w:rsidRPr="00C85FC1" w:rsidRDefault="00C85FC1" w:rsidP="00C85FC1">
      <w:pPr>
        <w:spacing w:after="0" w:line="240" w:lineRule="auto"/>
        <w:rPr>
          <w:sz w:val="20"/>
          <w:szCs w:val="20"/>
        </w:rPr>
      </w:pPr>
      <w:r w:rsidRPr="00C85FC1">
        <w:rPr>
          <w:sz w:val="20"/>
          <w:szCs w:val="20"/>
        </w:rPr>
        <w:t>The current RMC curriculum content, established in the mid 1990’s, was based on the core c competencies required for managerial success in the 1990's. To ensure that the program continues to be relevant for our workforce, a panel of "Industry Experts" met in February 2013 from 11 different grocery retailers to reassess and revalidate the WAFC’s list of competencies. Selected by company management, this panel was "expert" based on their managerial experience and status as a RMC graduate.</w:t>
      </w:r>
    </w:p>
    <w:p w:rsidR="00C85FC1" w:rsidRPr="00C85FC1" w:rsidRDefault="00C85FC1" w:rsidP="00C85FC1">
      <w:pPr>
        <w:spacing w:after="0" w:line="240" w:lineRule="auto"/>
        <w:rPr>
          <w:sz w:val="20"/>
          <w:szCs w:val="20"/>
        </w:rPr>
      </w:pPr>
    </w:p>
    <w:p w:rsidR="00C85FC1" w:rsidRPr="00C85FC1" w:rsidRDefault="00C85FC1" w:rsidP="00C85FC1">
      <w:pPr>
        <w:spacing w:after="0" w:line="240" w:lineRule="auto"/>
        <w:rPr>
          <w:sz w:val="20"/>
          <w:szCs w:val="20"/>
        </w:rPr>
      </w:pPr>
      <w:r w:rsidRPr="00C85FC1">
        <w:rPr>
          <w:sz w:val="20"/>
          <w:szCs w:val="20"/>
        </w:rPr>
        <w:t>The panel was guided by a 4‐‐‐year University Provost with substantial knowledge of competency‐‐‐based education. During the session, the group confirmed that the role of a manager has become much more sophisticated since 1999 and recommendations were made to better reflect the academic needs of a store manager in 2013 and beyond.</w:t>
      </w:r>
    </w:p>
    <w:p w:rsidR="00C85FC1" w:rsidRPr="00C85FC1" w:rsidRDefault="00C85FC1" w:rsidP="00C85FC1">
      <w:pPr>
        <w:spacing w:after="0" w:line="240" w:lineRule="auto"/>
        <w:rPr>
          <w:sz w:val="20"/>
          <w:szCs w:val="20"/>
        </w:rPr>
      </w:pPr>
      <w:r w:rsidRPr="00C85FC1">
        <w:rPr>
          <w:sz w:val="20"/>
          <w:szCs w:val="20"/>
        </w:rPr>
        <w:t xml:space="preserve"> </w:t>
      </w:r>
    </w:p>
    <w:p w:rsidR="00C85FC1" w:rsidRPr="00C85FC1" w:rsidRDefault="00C85FC1" w:rsidP="00C85FC1">
      <w:pPr>
        <w:spacing w:after="0" w:line="240" w:lineRule="auto"/>
        <w:rPr>
          <w:sz w:val="20"/>
          <w:szCs w:val="20"/>
        </w:rPr>
      </w:pPr>
      <w:r w:rsidRPr="00C85FC1">
        <w:rPr>
          <w:sz w:val="20"/>
          <w:szCs w:val="20"/>
        </w:rPr>
        <w:t>The panel also worked with faculty from several of our community college partners to link the revised 2013 competencies to course "outcomes" for the Retail Management Certificate. Ultimately, the group recommended that the courses remain mostly "in‐‐‐tact", with a few enhancements to accelerate students' learning and increase certificate completion rates:</w:t>
      </w:r>
    </w:p>
    <w:p w:rsidR="00C85FC1" w:rsidRPr="00C85FC1" w:rsidRDefault="00C85FC1" w:rsidP="00C85FC1">
      <w:pPr>
        <w:spacing w:after="0" w:line="240" w:lineRule="auto"/>
        <w:rPr>
          <w:sz w:val="20"/>
          <w:szCs w:val="20"/>
        </w:rPr>
      </w:pPr>
    </w:p>
    <w:p w:rsidR="00C85FC1" w:rsidRPr="00C85FC1" w:rsidRDefault="00C85FC1" w:rsidP="00C85FC1">
      <w:pPr>
        <w:spacing w:after="0" w:line="240" w:lineRule="auto"/>
        <w:rPr>
          <w:sz w:val="20"/>
          <w:szCs w:val="20"/>
        </w:rPr>
      </w:pPr>
      <w:r w:rsidRPr="00C85FC1">
        <w:rPr>
          <w:sz w:val="20"/>
          <w:szCs w:val="20"/>
        </w:rPr>
        <w:t>•</w:t>
      </w:r>
      <w:r w:rsidRPr="00C85FC1">
        <w:rPr>
          <w:sz w:val="20"/>
          <w:szCs w:val="20"/>
        </w:rPr>
        <w:tab/>
        <w:t>Communication: Combine Written, Oral, and Presentation competencies into one Business Communications course (currently two separate courses are required)</w:t>
      </w:r>
    </w:p>
    <w:p w:rsidR="00C85FC1" w:rsidRPr="00C85FC1" w:rsidRDefault="00C85FC1" w:rsidP="00C85FC1">
      <w:pPr>
        <w:spacing w:after="0" w:line="240" w:lineRule="auto"/>
        <w:rPr>
          <w:sz w:val="20"/>
          <w:szCs w:val="20"/>
        </w:rPr>
      </w:pPr>
      <w:r w:rsidRPr="00C85FC1">
        <w:rPr>
          <w:sz w:val="20"/>
          <w:szCs w:val="20"/>
        </w:rPr>
        <w:t>•</w:t>
      </w:r>
      <w:r w:rsidRPr="00C85FC1">
        <w:rPr>
          <w:sz w:val="20"/>
          <w:szCs w:val="20"/>
        </w:rPr>
        <w:tab/>
        <w:t>Computation: Combine the Math and Financial competencies (Accounting &amp; Business)</w:t>
      </w:r>
    </w:p>
    <w:p w:rsidR="00C85FC1" w:rsidRDefault="00C85FC1" w:rsidP="00574FAF">
      <w:pPr>
        <w:spacing w:after="0" w:line="240" w:lineRule="auto"/>
        <w:rPr>
          <w:sz w:val="20"/>
          <w:szCs w:val="20"/>
        </w:rPr>
      </w:pPr>
      <w:bookmarkStart w:id="4" w:name="_GoBack"/>
      <w:bookmarkEnd w:id="4"/>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F00ACA" w:rsidRDefault="00F00ACA"/>
    <w:sectPr w:rsidR="00F00ACA" w:rsidSect="00E04250">
      <w:headerReference w:type="even" r:id="rId13"/>
      <w:headerReference w:type="default" r:id="rId14"/>
      <w:footerReference w:type="even" r:id="rId15"/>
      <w:footerReference w:type="default" r:id="rId16"/>
      <w:headerReference w:type="first" r:id="rId17"/>
      <w:footerReference w:type="first" r:id="rId18"/>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CDA" w:rsidRDefault="00661CDA">
      <w:pPr>
        <w:spacing w:after="0" w:line="240" w:lineRule="auto"/>
      </w:pPr>
      <w:r>
        <w:separator/>
      </w:r>
    </w:p>
  </w:endnote>
  <w:endnote w:type="continuationSeparator" w:id="0">
    <w:p w:rsidR="00661CDA" w:rsidRDefault="00661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C85FC1" w:rsidRPr="00C85FC1">
      <w:rPr>
        <w:rFonts w:asciiTheme="minorHAnsi" w:eastAsiaTheme="majorEastAsia" w:hAnsiTheme="minorHAnsi" w:cstheme="minorHAnsi"/>
        <w:noProof/>
        <w:sz w:val="18"/>
        <w:szCs w:val="18"/>
      </w:rPr>
      <w:t>2</w:t>
    </w:r>
    <w:r w:rsidRPr="00C73841">
      <w:rPr>
        <w:rFonts w:asciiTheme="minorHAnsi" w:eastAsiaTheme="majorEastAsia" w:hAnsiTheme="minorHAnsi" w:cstheme="minorHAnsi"/>
        <w:noProof/>
        <w:sz w:val="18"/>
        <w:szCs w:val="18"/>
      </w:rPr>
      <w:fldChar w:fldCharType="end"/>
    </w:r>
  </w:p>
  <w:p w:rsidR="0045584D" w:rsidRDefault="00661C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CDA" w:rsidRDefault="00661CDA">
      <w:pPr>
        <w:spacing w:after="0" w:line="240" w:lineRule="auto"/>
      </w:pPr>
      <w:r>
        <w:separator/>
      </w:r>
    </w:p>
  </w:footnote>
  <w:footnote w:type="continuationSeparator" w:id="0">
    <w:p w:rsidR="00661CDA" w:rsidRDefault="00661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2D9" w:rsidRDefault="005B22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0"/>
  </w:num>
  <w:num w:numId="5">
    <w:abstractNumId w:val="11"/>
  </w:num>
  <w:num w:numId="6">
    <w:abstractNumId w:val="0"/>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AF"/>
    <w:rsid w:val="000D0221"/>
    <w:rsid w:val="00274671"/>
    <w:rsid w:val="002B32F4"/>
    <w:rsid w:val="003125D4"/>
    <w:rsid w:val="00397C4E"/>
    <w:rsid w:val="00574FAF"/>
    <w:rsid w:val="005B22D9"/>
    <w:rsid w:val="005C1298"/>
    <w:rsid w:val="0060630B"/>
    <w:rsid w:val="00661CDA"/>
    <w:rsid w:val="006B46E8"/>
    <w:rsid w:val="007B7FF4"/>
    <w:rsid w:val="008871E0"/>
    <w:rsid w:val="009C7336"/>
    <w:rsid w:val="00A25287"/>
    <w:rsid w:val="00A51876"/>
    <w:rsid w:val="00B034D7"/>
    <w:rsid w:val="00B33BF0"/>
    <w:rsid w:val="00B90B4B"/>
    <w:rsid w:val="00C85FC1"/>
    <w:rsid w:val="00CC6745"/>
    <w:rsid w:val="00DA4006"/>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405E6"/>
  <w15:docId w15:val="{0CD20B5A-1AA4-421E-907C-577DB7C2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paragraph" w:styleId="BodyText">
    <w:name w:val="Body Text"/>
    <w:basedOn w:val="Normal"/>
    <w:link w:val="BodyTextChar"/>
    <w:uiPriority w:val="1"/>
    <w:qFormat/>
    <w:rsid w:val="000D0221"/>
    <w:pPr>
      <w:widowControl w:val="0"/>
      <w:spacing w:after="0" w:line="240" w:lineRule="auto"/>
    </w:pPr>
    <w:rPr>
      <w:rFonts w:cs="Calibri"/>
    </w:rPr>
  </w:style>
  <w:style w:type="character" w:customStyle="1" w:styleId="BodyTextChar">
    <w:name w:val="Body Text Char"/>
    <w:basedOn w:val="DefaultParagraphFont"/>
    <w:link w:val="BodyText"/>
    <w:uiPriority w:val="1"/>
    <w:rsid w:val="000D0221"/>
    <w:rPr>
      <w:rFonts w:ascii="Calibri" w:eastAsia="Calibri" w:hAnsi="Calibri" w:cs="Calibri"/>
    </w:rPr>
  </w:style>
  <w:style w:type="paragraph" w:customStyle="1" w:styleId="TableParagraph">
    <w:name w:val="Table Paragraph"/>
    <w:basedOn w:val="Normal"/>
    <w:uiPriority w:val="1"/>
    <w:qFormat/>
    <w:rsid w:val="000D0221"/>
    <w:pPr>
      <w:widowControl w:val="0"/>
      <w:spacing w:after="0" w:line="240" w:lineRule="auto"/>
      <w:ind w:left="387"/>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ommittees.kccd.edu/bc/committee/programreview"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embeddings/oleObject2.bin"/><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Retail Management Certificate</a:t>
            </a:r>
          </a:p>
          <a:p>
            <a:pPr>
              <a:defRPr/>
            </a:pPr>
            <a:r>
              <a:rPr lang="en-US"/>
              <a:t>FTEs per year</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'[Coursebook-2.xlsx]Table 1'!$V$151</c:f>
              <c:strCache>
                <c:ptCount val="1"/>
                <c:pt idx="0">
                  <c:v>2011-2012</c:v>
                </c:pt>
              </c:strCache>
            </c:strRef>
          </c:tx>
          <c:spPr>
            <a:solidFill>
              <a:schemeClr val="accent1"/>
            </a:solidFill>
            <a:ln>
              <a:noFill/>
            </a:ln>
            <a:effectLst/>
          </c:spPr>
          <c:invertIfNegative val="0"/>
          <c:cat>
            <c:strRef>
              <c:f>'[Coursebook-2.xlsx]Table 1'!$W$150:$AE$150</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'[Coursebook-2.xlsx]Table 1'!$W$151:$AE$151</c:f>
              <c:numCache>
                <c:formatCode>_(* #,##0.00_);_(* \(#,##0.00\);_(* "-"??_);_(@_)</c:formatCode>
                <c:ptCount val="9"/>
                <c:pt idx="0">
                  <c:v>15.5</c:v>
                </c:pt>
                <c:pt idx="1">
                  <c:v>58.2</c:v>
                </c:pt>
                <c:pt idx="2">
                  <c:v>41.1</c:v>
                </c:pt>
                <c:pt idx="3">
                  <c:v>36</c:v>
                </c:pt>
                <c:pt idx="4">
                  <c:v>31.200000000000003</c:v>
                </c:pt>
                <c:pt idx="5">
                  <c:v>21.6</c:v>
                </c:pt>
                <c:pt idx="6">
                  <c:v>30</c:v>
                </c:pt>
                <c:pt idx="7" formatCode="General">
                  <c:v>20.100000000000001</c:v>
                </c:pt>
              </c:numCache>
            </c:numRef>
          </c:val>
          <c:extLst>
            <c:ext xmlns:c16="http://schemas.microsoft.com/office/drawing/2014/chart" uri="{C3380CC4-5D6E-409C-BE32-E72D297353CC}">
              <c16:uniqueId val="{00000000-E581-4654-BD19-C445FFC89060}"/>
            </c:ext>
          </c:extLst>
        </c:ser>
        <c:ser>
          <c:idx val="1"/>
          <c:order val="1"/>
          <c:tx>
            <c:strRef>
              <c:f>'[Coursebook-2.xlsx]Table 1'!$V$152</c:f>
              <c:strCache>
                <c:ptCount val="1"/>
                <c:pt idx="0">
                  <c:v>2012-2013</c:v>
                </c:pt>
              </c:strCache>
            </c:strRef>
          </c:tx>
          <c:spPr>
            <a:solidFill>
              <a:schemeClr val="accent2"/>
            </a:solidFill>
            <a:ln>
              <a:noFill/>
            </a:ln>
            <a:effectLst/>
          </c:spPr>
          <c:invertIfNegative val="0"/>
          <c:cat>
            <c:strRef>
              <c:f>'[Coursebook-2.xlsx]Table 1'!$W$150:$AE$150</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'[Coursebook-2.xlsx]Table 1'!$W$152:$AE$152</c:f>
              <c:numCache>
                <c:formatCode>_(* #,##0.00_);_(* \(#,##0.00\);_(* "-"??_);_(@_)</c:formatCode>
                <c:ptCount val="9"/>
                <c:pt idx="0">
                  <c:v>18.100000000000001</c:v>
                </c:pt>
                <c:pt idx="1">
                  <c:v>48.7</c:v>
                </c:pt>
                <c:pt idx="2">
                  <c:v>44.599999999999994</c:v>
                </c:pt>
                <c:pt idx="3">
                  <c:v>36.4</c:v>
                </c:pt>
                <c:pt idx="4">
                  <c:v>43.199999999999996</c:v>
                </c:pt>
                <c:pt idx="5">
                  <c:v>17.399999999999999</c:v>
                </c:pt>
                <c:pt idx="6">
                  <c:v>33.299999999999997</c:v>
                </c:pt>
                <c:pt idx="7" formatCode="General">
                  <c:v>20.6</c:v>
                </c:pt>
              </c:numCache>
            </c:numRef>
          </c:val>
          <c:extLst>
            <c:ext xmlns:c16="http://schemas.microsoft.com/office/drawing/2014/chart" uri="{C3380CC4-5D6E-409C-BE32-E72D297353CC}">
              <c16:uniqueId val="{00000001-E581-4654-BD19-C445FFC89060}"/>
            </c:ext>
          </c:extLst>
        </c:ser>
        <c:ser>
          <c:idx val="2"/>
          <c:order val="2"/>
          <c:tx>
            <c:strRef>
              <c:f>'[Coursebook-2.xlsx]Table 1'!$V$153</c:f>
              <c:strCache>
                <c:ptCount val="1"/>
                <c:pt idx="0">
                  <c:v>2013-2014</c:v>
                </c:pt>
              </c:strCache>
            </c:strRef>
          </c:tx>
          <c:spPr>
            <a:solidFill>
              <a:schemeClr val="accent3"/>
            </a:solidFill>
            <a:ln>
              <a:noFill/>
            </a:ln>
            <a:effectLst/>
          </c:spPr>
          <c:invertIfNegative val="0"/>
          <c:cat>
            <c:strRef>
              <c:f>'[Coursebook-2.xlsx]Table 1'!$W$150:$AE$150</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'[Coursebook-2.xlsx]Table 1'!$W$153:$AE$153</c:f>
              <c:numCache>
                <c:formatCode>_(* #,##0.00_);_(* \(#,##0.00\);_(* "-"??_);_(@_)</c:formatCode>
                <c:ptCount val="9"/>
                <c:pt idx="0">
                  <c:v>11.4</c:v>
                </c:pt>
                <c:pt idx="1">
                  <c:v>49.800000000000004</c:v>
                </c:pt>
                <c:pt idx="2">
                  <c:v>40.200000000000003</c:v>
                </c:pt>
                <c:pt idx="3">
                  <c:v>39.900000000000006</c:v>
                </c:pt>
                <c:pt idx="5">
                  <c:v>21.1</c:v>
                </c:pt>
                <c:pt idx="6">
                  <c:v>24.299999999999997</c:v>
                </c:pt>
                <c:pt idx="7" formatCode="General">
                  <c:v>19</c:v>
                </c:pt>
              </c:numCache>
            </c:numRef>
          </c:val>
          <c:extLst>
            <c:ext xmlns:c16="http://schemas.microsoft.com/office/drawing/2014/chart" uri="{C3380CC4-5D6E-409C-BE32-E72D297353CC}">
              <c16:uniqueId val="{00000002-E581-4654-BD19-C445FFC89060}"/>
            </c:ext>
          </c:extLst>
        </c:ser>
        <c:ser>
          <c:idx val="3"/>
          <c:order val="3"/>
          <c:tx>
            <c:strRef>
              <c:f>'[Coursebook-2.xlsx]Table 1'!$V$154</c:f>
              <c:strCache>
                <c:ptCount val="1"/>
                <c:pt idx="0">
                  <c:v>2014-2015</c:v>
                </c:pt>
              </c:strCache>
            </c:strRef>
          </c:tx>
          <c:spPr>
            <a:solidFill>
              <a:schemeClr val="accent4"/>
            </a:solidFill>
            <a:ln>
              <a:noFill/>
            </a:ln>
            <a:effectLst/>
          </c:spPr>
          <c:invertIfNegative val="0"/>
          <c:cat>
            <c:strRef>
              <c:f>'[Coursebook-2.xlsx]Table 1'!$W$150:$AE$150</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'[Coursebook-2.xlsx]Table 1'!$W$154:$AE$154</c:f>
              <c:numCache>
                <c:formatCode>_(* #,##0.00_);_(* \(#,##0.00\);_(* "-"??_);_(@_)</c:formatCode>
                <c:ptCount val="9"/>
                <c:pt idx="0">
                  <c:v>10.9</c:v>
                </c:pt>
                <c:pt idx="1">
                  <c:v>53.3</c:v>
                </c:pt>
                <c:pt idx="2">
                  <c:v>37.900000000000006</c:v>
                </c:pt>
                <c:pt idx="3">
                  <c:v>34</c:v>
                </c:pt>
                <c:pt idx="4">
                  <c:v>27.9</c:v>
                </c:pt>
                <c:pt idx="5">
                  <c:v>16.399999999999999</c:v>
                </c:pt>
                <c:pt idx="6">
                  <c:v>29.1</c:v>
                </c:pt>
                <c:pt idx="7" formatCode="General">
                  <c:v>10</c:v>
                </c:pt>
                <c:pt idx="8" formatCode="General">
                  <c:v>48.8</c:v>
                </c:pt>
              </c:numCache>
            </c:numRef>
          </c:val>
          <c:extLst>
            <c:ext xmlns:c16="http://schemas.microsoft.com/office/drawing/2014/chart" uri="{C3380CC4-5D6E-409C-BE32-E72D297353CC}">
              <c16:uniqueId val="{00000003-E581-4654-BD19-C445FFC89060}"/>
            </c:ext>
          </c:extLst>
        </c:ser>
        <c:ser>
          <c:idx val="4"/>
          <c:order val="4"/>
          <c:tx>
            <c:strRef>
              <c:f>'[Coursebook-2.xlsx]Table 1'!$V$155</c:f>
              <c:strCache>
                <c:ptCount val="1"/>
                <c:pt idx="0">
                  <c:v>2015-2016</c:v>
                </c:pt>
              </c:strCache>
            </c:strRef>
          </c:tx>
          <c:spPr>
            <a:solidFill>
              <a:schemeClr val="accent5"/>
            </a:solidFill>
            <a:ln>
              <a:noFill/>
            </a:ln>
            <a:effectLst/>
          </c:spPr>
          <c:invertIfNegative val="0"/>
          <c:cat>
            <c:strRef>
              <c:f>'[Coursebook-2.xlsx]Table 1'!$W$150:$AE$150</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'[Coursebook-2.xlsx]Table 1'!$W$155:$AE$155</c:f>
              <c:numCache>
                <c:formatCode>_(* #,##0.00_);_(* \(#,##0.00\);_(* "-"??_);_(@_)</c:formatCode>
                <c:ptCount val="9"/>
                <c:pt idx="0">
                  <c:v>10.3</c:v>
                </c:pt>
                <c:pt idx="1">
                  <c:v>46</c:v>
                </c:pt>
                <c:pt idx="2">
                  <c:v>39.5</c:v>
                </c:pt>
                <c:pt idx="3">
                  <c:v>33</c:v>
                </c:pt>
                <c:pt idx="4">
                  <c:v>10.6</c:v>
                </c:pt>
                <c:pt idx="5">
                  <c:v>12.9</c:v>
                </c:pt>
                <c:pt idx="6">
                  <c:v>22.6</c:v>
                </c:pt>
                <c:pt idx="7" formatCode="General">
                  <c:v>10</c:v>
                </c:pt>
                <c:pt idx="8" formatCode="General">
                  <c:v>35.4</c:v>
                </c:pt>
              </c:numCache>
            </c:numRef>
          </c:val>
          <c:extLst>
            <c:ext xmlns:c16="http://schemas.microsoft.com/office/drawing/2014/chart" uri="{C3380CC4-5D6E-409C-BE32-E72D297353CC}">
              <c16:uniqueId val="{00000004-E581-4654-BD19-C445FFC89060}"/>
            </c:ext>
          </c:extLst>
        </c:ser>
        <c:dLbls>
          <c:showLegendKey val="0"/>
          <c:showVal val="0"/>
          <c:showCatName val="0"/>
          <c:showSerName val="0"/>
          <c:showPercent val="0"/>
          <c:showBubbleSize val="0"/>
        </c:dLbls>
        <c:gapWidth val="219"/>
        <c:overlap val="-27"/>
        <c:axId val="490625864"/>
        <c:axId val="490626848"/>
      </c:barChart>
      <c:catAx>
        <c:axId val="490625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626848"/>
        <c:crosses val="autoZero"/>
        <c:auto val="1"/>
        <c:lblAlgn val="ctr"/>
        <c:lblOffset val="100"/>
        <c:noMultiLvlLbl val="0"/>
      </c:catAx>
      <c:valAx>
        <c:axId val="490626848"/>
        <c:scaling>
          <c:orientation val="minMax"/>
        </c:scaling>
        <c:delete val="0"/>
        <c:axPos val="l"/>
        <c:majorGridlines>
          <c:spPr>
            <a:ln w="9525" cap="flat" cmpd="sng" algn="ctr">
              <a:solidFill>
                <a:schemeClr val="tx1">
                  <a:lumMod val="15000"/>
                  <a:lumOff val="85000"/>
                </a:schemeClr>
              </a:solidFill>
              <a:round/>
            </a:ln>
            <a:effectLst/>
          </c:spPr>
        </c:majorGridlines>
        <c:numFmt formatCode="_(* #,##0.00_);_(* \(#,##0.0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625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Retail Management Certificate</a:t>
            </a:r>
          </a:p>
          <a:p>
            <a:pPr>
              <a:defRPr/>
            </a:pPr>
            <a:r>
              <a:rPr lang="en-US"/>
              <a:t>Success Rates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'[Coursebook-2.xlsx]Table 1'!$T$129</c:f>
              <c:strCache>
                <c:ptCount val="1"/>
                <c:pt idx="0">
                  <c:v>2011-2012</c:v>
                </c:pt>
              </c:strCache>
            </c:strRef>
          </c:tx>
          <c:spPr>
            <a:ln w="28575" cap="rnd">
              <a:solidFill>
                <a:schemeClr val="accent1"/>
              </a:solidFill>
              <a:round/>
            </a:ln>
            <a:effectLst/>
          </c:spPr>
          <c:marker>
            <c:symbol val="none"/>
          </c:marker>
          <c:cat>
            <c:strRef>
              <c:f>'[Coursebook-2.xlsx]Table 1'!$U$128:$AC$128</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'[Coursebook-2.xlsx]Table 1'!$U$129:$AC$129</c:f>
              <c:numCache>
                <c:formatCode>General</c:formatCode>
                <c:ptCount val="9"/>
                <c:pt idx="0">
                  <c:v>0.76700000000000002</c:v>
                </c:pt>
                <c:pt idx="1">
                  <c:v>0.68433333333333335</c:v>
                </c:pt>
                <c:pt idx="2">
                  <c:v>0.82200000000000006</c:v>
                </c:pt>
                <c:pt idx="3">
                  <c:v>0.61399999999999999</c:v>
                </c:pt>
                <c:pt idx="4">
                  <c:v>0.443</c:v>
                </c:pt>
                <c:pt idx="5">
                  <c:v>0.58499999999999996</c:v>
                </c:pt>
                <c:pt idx="6">
                  <c:v>0.61549999999999994</c:v>
                </c:pt>
                <c:pt idx="7">
                  <c:v>0.60499999999999998</c:v>
                </c:pt>
              </c:numCache>
            </c:numRef>
          </c:val>
          <c:smooth val="0"/>
          <c:extLst>
            <c:ext xmlns:c16="http://schemas.microsoft.com/office/drawing/2014/chart" uri="{C3380CC4-5D6E-409C-BE32-E72D297353CC}">
              <c16:uniqueId val="{00000000-DDAA-4EC1-9EC1-FC17CCE4C2AD}"/>
            </c:ext>
          </c:extLst>
        </c:ser>
        <c:ser>
          <c:idx val="1"/>
          <c:order val="1"/>
          <c:tx>
            <c:strRef>
              <c:f>'[Coursebook-2.xlsx]Table 1'!$T$130</c:f>
              <c:strCache>
                <c:ptCount val="1"/>
                <c:pt idx="0">
                  <c:v>2012-2013</c:v>
                </c:pt>
              </c:strCache>
            </c:strRef>
          </c:tx>
          <c:spPr>
            <a:ln w="28575" cap="rnd">
              <a:solidFill>
                <a:schemeClr val="accent2"/>
              </a:solidFill>
              <a:round/>
            </a:ln>
            <a:effectLst/>
          </c:spPr>
          <c:marker>
            <c:symbol val="none"/>
          </c:marker>
          <c:cat>
            <c:strRef>
              <c:f>'[Coursebook-2.xlsx]Table 1'!$U$128:$AC$128</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'[Coursebook-2.xlsx]Table 1'!$U$130:$AC$130</c:f>
              <c:numCache>
                <c:formatCode>General</c:formatCode>
                <c:ptCount val="9"/>
                <c:pt idx="0">
                  <c:v>0.65700000000000003</c:v>
                </c:pt>
                <c:pt idx="1">
                  <c:v>0.7363333333333334</c:v>
                </c:pt>
                <c:pt idx="2">
                  <c:v>0.749</c:v>
                </c:pt>
                <c:pt idx="3">
                  <c:v>0.66599999999999993</c:v>
                </c:pt>
                <c:pt idx="4">
                  <c:v>0.59099999999999997</c:v>
                </c:pt>
                <c:pt idx="5">
                  <c:v>0.78800000000000003</c:v>
                </c:pt>
                <c:pt idx="6">
                  <c:v>0.68500000000000005</c:v>
                </c:pt>
                <c:pt idx="7">
                  <c:v>0.64100000000000001</c:v>
                </c:pt>
              </c:numCache>
            </c:numRef>
          </c:val>
          <c:smooth val="0"/>
          <c:extLst>
            <c:ext xmlns:c16="http://schemas.microsoft.com/office/drawing/2014/chart" uri="{C3380CC4-5D6E-409C-BE32-E72D297353CC}">
              <c16:uniqueId val="{00000001-DDAA-4EC1-9EC1-FC17CCE4C2AD}"/>
            </c:ext>
          </c:extLst>
        </c:ser>
        <c:ser>
          <c:idx val="2"/>
          <c:order val="2"/>
          <c:tx>
            <c:strRef>
              <c:f>'[Coursebook-2.xlsx]Table 1'!$T$131</c:f>
              <c:strCache>
                <c:ptCount val="1"/>
                <c:pt idx="0">
                  <c:v>2013-2014</c:v>
                </c:pt>
              </c:strCache>
            </c:strRef>
          </c:tx>
          <c:spPr>
            <a:ln w="28575" cap="rnd">
              <a:solidFill>
                <a:schemeClr val="accent3"/>
              </a:solidFill>
              <a:round/>
            </a:ln>
            <a:effectLst/>
          </c:spPr>
          <c:marker>
            <c:symbol val="none"/>
          </c:marker>
          <c:cat>
            <c:strRef>
              <c:f>'[Coursebook-2.xlsx]Table 1'!$U$128:$AC$128</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'[Coursebook-2.xlsx]Table 1'!$U$131:$AC$131</c:f>
              <c:numCache>
                <c:formatCode>General</c:formatCode>
                <c:ptCount val="9"/>
                <c:pt idx="0">
                  <c:v>0.95499999999999996</c:v>
                </c:pt>
                <c:pt idx="1">
                  <c:v>0.7543333333333333</c:v>
                </c:pt>
                <c:pt idx="2">
                  <c:v>0.81499999999999995</c:v>
                </c:pt>
                <c:pt idx="3">
                  <c:v>0.622</c:v>
                </c:pt>
                <c:pt idx="5">
                  <c:v>0.82899999999999996</c:v>
                </c:pt>
                <c:pt idx="6">
                  <c:v>0.51350000000000007</c:v>
                </c:pt>
                <c:pt idx="7">
                  <c:v>0.55600000000000005</c:v>
                </c:pt>
              </c:numCache>
            </c:numRef>
          </c:val>
          <c:smooth val="0"/>
          <c:extLst>
            <c:ext xmlns:c16="http://schemas.microsoft.com/office/drawing/2014/chart" uri="{C3380CC4-5D6E-409C-BE32-E72D297353CC}">
              <c16:uniqueId val="{00000002-DDAA-4EC1-9EC1-FC17CCE4C2AD}"/>
            </c:ext>
          </c:extLst>
        </c:ser>
        <c:ser>
          <c:idx val="3"/>
          <c:order val="3"/>
          <c:tx>
            <c:strRef>
              <c:f>'[Coursebook-2.xlsx]Table 1'!$T$132</c:f>
              <c:strCache>
                <c:ptCount val="1"/>
                <c:pt idx="0">
                  <c:v>2014-2015</c:v>
                </c:pt>
              </c:strCache>
            </c:strRef>
          </c:tx>
          <c:spPr>
            <a:ln w="28575" cap="rnd">
              <a:solidFill>
                <a:schemeClr val="accent4"/>
              </a:solidFill>
              <a:round/>
            </a:ln>
            <a:effectLst/>
          </c:spPr>
          <c:marker>
            <c:symbol val="none"/>
          </c:marker>
          <c:cat>
            <c:strRef>
              <c:f>'[Coursebook-2.xlsx]Table 1'!$U$128:$AC$128</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'[Coursebook-2.xlsx]Table 1'!$U$132:$AC$132</c:f>
              <c:numCache>
                <c:formatCode>General</c:formatCode>
                <c:ptCount val="9"/>
                <c:pt idx="0">
                  <c:v>0.61899999999999999</c:v>
                </c:pt>
                <c:pt idx="1">
                  <c:v>0.64800000000000002</c:v>
                </c:pt>
                <c:pt idx="2">
                  <c:v>0.69599999999999995</c:v>
                </c:pt>
                <c:pt idx="3">
                  <c:v>0.62250000000000005</c:v>
                </c:pt>
                <c:pt idx="4">
                  <c:v>0.66300000000000003</c:v>
                </c:pt>
                <c:pt idx="5">
                  <c:v>0.83899999999999997</c:v>
                </c:pt>
                <c:pt idx="6">
                  <c:v>0.41749999999999998</c:v>
                </c:pt>
                <c:pt idx="7">
                  <c:v>0.78900000000000003</c:v>
                </c:pt>
                <c:pt idx="8">
                  <c:v>0.7416666666666667</c:v>
                </c:pt>
              </c:numCache>
            </c:numRef>
          </c:val>
          <c:smooth val="0"/>
          <c:extLst>
            <c:ext xmlns:c16="http://schemas.microsoft.com/office/drawing/2014/chart" uri="{C3380CC4-5D6E-409C-BE32-E72D297353CC}">
              <c16:uniqueId val="{00000003-DDAA-4EC1-9EC1-FC17CCE4C2AD}"/>
            </c:ext>
          </c:extLst>
        </c:ser>
        <c:ser>
          <c:idx val="4"/>
          <c:order val="4"/>
          <c:tx>
            <c:strRef>
              <c:f>'[Coursebook-2.xlsx]Table 1'!$T$133</c:f>
              <c:strCache>
                <c:ptCount val="1"/>
                <c:pt idx="0">
                  <c:v>2015-2016</c:v>
                </c:pt>
              </c:strCache>
            </c:strRef>
          </c:tx>
          <c:spPr>
            <a:ln w="28575" cap="rnd">
              <a:solidFill>
                <a:schemeClr val="accent5"/>
              </a:solidFill>
              <a:round/>
            </a:ln>
            <a:effectLst/>
          </c:spPr>
          <c:marker>
            <c:symbol val="none"/>
          </c:marker>
          <c:cat>
            <c:strRef>
              <c:f>'[Coursebook-2.xlsx]Table 1'!$U$128:$AC$128</c:f>
              <c:strCache>
                <c:ptCount val="9"/>
                <c:pt idx="0">
                  <c:v>BSAD B43</c:v>
                </c:pt>
                <c:pt idx="1">
                  <c:v>BSAD B5</c:v>
                </c:pt>
                <c:pt idx="2">
                  <c:v>BSAD B51</c:v>
                </c:pt>
                <c:pt idx="3">
                  <c:v>BSAD B53a</c:v>
                </c:pt>
                <c:pt idx="4">
                  <c:v>BSAD B61</c:v>
                </c:pt>
                <c:pt idx="5">
                  <c:v>BSAD B65</c:v>
                </c:pt>
                <c:pt idx="6">
                  <c:v>BSAD B9</c:v>
                </c:pt>
                <c:pt idx="7">
                  <c:v>BSAD B90</c:v>
                </c:pt>
                <c:pt idx="8">
                  <c:v>COMP B5</c:v>
                </c:pt>
              </c:strCache>
            </c:strRef>
          </c:cat>
          <c:val>
            <c:numRef>
              <c:f>'[Coursebook-2.xlsx]Table 1'!$U$133:$AC$133</c:f>
              <c:numCache>
                <c:formatCode>General</c:formatCode>
                <c:ptCount val="9"/>
                <c:pt idx="0">
                  <c:v>0.55000000000000004</c:v>
                </c:pt>
                <c:pt idx="1">
                  <c:v>0.80100000000000005</c:v>
                </c:pt>
                <c:pt idx="2">
                  <c:v>0.67549999999999999</c:v>
                </c:pt>
                <c:pt idx="3">
                  <c:v>0.57299999999999995</c:v>
                </c:pt>
                <c:pt idx="4">
                  <c:v>0.8</c:v>
                </c:pt>
                <c:pt idx="5">
                  <c:v>0.92</c:v>
                </c:pt>
                <c:pt idx="6">
                  <c:v>0.58699999999999997</c:v>
                </c:pt>
                <c:pt idx="7">
                  <c:v>0.73699999999999999</c:v>
                </c:pt>
                <c:pt idx="8">
                  <c:v>0.73666666666666669</c:v>
                </c:pt>
              </c:numCache>
            </c:numRef>
          </c:val>
          <c:smooth val="0"/>
          <c:extLst>
            <c:ext xmlns:c16="http://schemas.microsoft.com/office/drawing/2014/chart" uri="{C3380CC4-5D6E-409C-BE32-E72D297353CC}">
              <c16:uniqueId val="{00000004-DDAA-4EC1-9EC1-FC17CCE4C2AD}"/>
            </c:ext>
          </c:extLst>
        </c:ser>
        <c:dLbls>
          <c:showLegendKey val="0"/>
          <c:showVal val="0"/>
          <c:showCatName val="0"/>
          <c:showSerName val="0"/>
          <c:showPercent val="0"/>
          <c:showBubbleSize val="0"/>
        </c:dLbls>
        <c:smooth val="0"/>
        <c:axId val="478148552"/>
        <c:axId val="478150848"/>
      </c:lineChart>
      <c:catAx>
        <c:axId val="478148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150848"/>
        <c:crosses val="autoZero"/>
        <c:auto val="1"/>
        <c:lblAlgn val="ctr"/>
        <c:lblOffset val="100"/>
        <c:noMultiLvlLbl val="0"/>
      </c:catAx>
      <c:valAx>
        <c:axId val="478150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8148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88246B-77EA-4591-A16E-A1B3B747EC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F4523A-2CE2-473B-AF5C-093A41A50EAD}">
  <ds:schemaRefs>
    <ds:schemaRef ds:uri="http://schemas.microsoft.com/sharepoint/v3/contenttype/forms"/>
  </ds:schemaRefs>
</ds:datastoreItem>
</file>

<file path=customXml/itemProps3.xml><?xml version="1.0" encoding="utf-8"?>
<ds:datastoreItem xmlns:ds="http://schemas.openxmlformats.org/officeDocument/2006/customXml" ds:itemID="{BD0786A5-3835-4D7A-98A2-0889DD5851B7}"/>
</file>

<file path=docProps/app.xml><?xml version="1.0" encoding="utf-8"?>
<Properties xmlns="http://schemas.openxmlformats.org/officeDocument/2006/extended-properties" xmlns:vt="http://schemas.openxmlformats.org/officeDocument/2006/docPropsVTypes">
  <Template>Normal</Template>
  <TotalTime>0</TotalTime>
  <Pages>7</Pages>
  <Words>2001</Words>
  <Characters>11410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13385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Michael Ivey</cp:lastModifiedBy>
  <cp:revision>2</cp:revision>
  <dcterms:created xsi:type="dcterms:W3CDTF">2016-10-02T21:09:00Z</dcterms:created>
  <dcterms:modified xsi:type="dcterms:W3CDTF">2016-10-02T21:09:00Z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